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4A8" w:rsidRDefault="006224A8" w:rsidP="006224A8">
      <w:pPr>
        <w:pStyle w:val="ListParagraph"/>
        <w:numPr>
          <w:ilvl w:val="0"/>
          <w:numId w:val="1"/>
        </w:numPr>
        <w:tabs>
          <w:tab w:val="left" w:pos="506"/>
        </w:tabs>
        <w:spacing w:before="257" w:line="237" w:lineRule="auto"/>
        <w:ind w:right="273"/>
        <w:jc w:val="both"/>
      </w:pPr>
      <w:r>
        <w:t xml:space="preserve">Sistem Penjaminan Mutu Internal (SPMI): dokumen SPMI (dokumen kebijakan, dokumen manual, dokumen standar, dan dokumen formular), pelaksanaan SPMI dengan siklus PPEPP, dan pelaksanaan </w:t>
      </w:r>
      <w:r>
        <w:rPr>
          <w:i/>
        </w:rPr>
        <w:t xml:space="preserve">external benchmarking </w:t>
      </w:r>
      <w:r>
        <w:t>penjaminan mutu.</w:t>
      </w:r>
    </w:p>
    <w:p w:rsidR="006224A8" w:rsidRDefault="006224A8" w:rsidP="006224A8">
      <w:pPr>
        <w:pStyle w:val="BodyText"/>
        <w:spacing w:before="50"/>
        <w:ind w:left="592" w:right="446" w:firstLine="605"/>
        <w:jc w:val="both"/>
      </w:pPr>
      <w:r>
        <w:rPr>
          <w:noProof/>
        </w:rPr>
        <mc:AlternateContent>
          <mc:Choice Requires="wps">
            <w:drawing>
              <wp:anchor distT="0" distB="0" distL="0" distR="0" simplePos="0" relativeHeight="251659264" behindDoc="1" locked="0" layoutInCell="1" allowOverlap="1" wp14:anchorId="028BCE28" wp14:editId="48707EA4">
                <wp:simplePos x="0" y="0"/>
                <wp:positionH relativeFrom="page">
                  <wp:posOffset>933450</wp:posOffset>
                </wp:positionH>
                <wp:positionV relativeFrom="paragraph">
                  <wp:posOffset>-1905</wp:posOffset>
                </wp:positionV>
                <wp:extent cx="5952490" cy="77724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7772400"/>
                        </a:xfrm>
                        <a:custGeom>
                          <a:avLst/>
                          <a:gdLst/>
                          <a:ahLst/>
                          <a:cxnLst/>
                          <a:rect l="l" t="t" r="r" b="b"/>
                          <a:pathLst>
                            <a:path w="5952490" h="4152900">
                              <a:moveTo>
                                <a:pt x="27419" y="0"/>
                              </a:moveTo>
                              <a:lnTo>
                                <a:pt x="0" y="0"/>
                              </a:lnTo>
                              <a:lnTo>
                                <a:pt x="0" y="27381"/>
                              </a:lnTo>
                              <a:lnTo>
                                <a:pt x="0" y="4125163"/>
                              </a:lnTo>
                              <a:lnTo>
                                <a:pt x="0" y="4152595"/>
                              </a:lnTo>
                              <a:lnTo>
                                <a:pt x="27419" y="4152595"/>
                              </a:lnTo>
                              <a:lnTo>
                                <a:pt x="27419" y="4125163"/>
                              </a:lnTo>
                              <a:lnTo>
                                <a:pt x="27419" y="27432"/>
                              </a:lnTo>
                              <a:lnTo>
                                <a:pt x="27419" y="0"/>
                              </a:lnTo>
                              <a:close/>
                            </a:path>
                            <a:path w="5952490" h="4152900">
                              <a:moveTo>
                                <a:pt x="5924677" y="4125163"/>
                              </a:moveTo>
                              <a:lnTo>
                                <a:pt x="27432" y="4125163"/>
                              </a:lnTo>
                              <a:lnTo>
                                <a:pt x="27432" y="4152595"/>
                              </a:lnTo>
                              <a:lnTo>
                                <a:pt x="5924677" y="4152595"/>
                              </a:lnTo>
                              <a:lnTo>
                                <a:pt x="5924677" y="4125163"/>
                              </a:lnTo>
                              <a:close/>
                            </a:path>
                            <a:path w="5952490" h="4152900">
                              <a:moveTo>
                                <a:pt x="5924677" y="0"/>
                              </a:moveTo>
                              <a:lnTo>
                                <a:pt x="27432" y="0"/>
                              </a:lnTo>
                              <a:lnTo>
                                <a:pt x="27432" y="27432"/>
                              </a:lnTo>
                              <a:lnTo>
                                <a:pt x="5924677" y="27432"/>
                              </a:lnTo>
                              <a:lnTo>
                                <a:pt x="5924677" y="0"/>
                              </a:lnTo>
                              <a:close/>
                            </a:path>
                            <a:path w="5952490" h="4152900">
                              <a:moveTo>
                                <a:pt x="5952185" y="0"/>
                              </a:moveTo>
                              <a:lnTo>
                                <a:pt x="5924753" y="0"/>
                              </a:lnTo>
                              <a:lnTo>
                                <a:pt x="5924753" y="27381"/>
                              </a:lnTo>
                              <a:lnTo>
                                <a:pt x="5924753" y="4125163"/>
                              </a:lnTo>
                              <a:lnTo>
                                <a:pt x="5924753" y="4152595"/>
                              </a:lnTo>
                              <a:lnTo>
                                <a:pt x="5952185" y="4152595"/>
                              </a:lnTo>
                              <a:lnTo>
                                <a:pt x="5952185" y="4125163"/>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77E90A6" id="Graphic 30" o:spid="_x0000_s1026" style="position:absolute;margin-left:73.5pt;margin-top:-.15pt;width:468.7pt;height:612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952490,415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p2N2wIAAJYJAAAOAAAAZHJzL2Uyb0RvYy54bWysVtFumzAUfZ+0f7D8vhJIKE1UUm3tWk2q&#10;ukrttGfHmIBmsGc7If37XZs4QLcutKoi4Wt8uJx7TvD1+cWu4mjLlC5FneLwZIIRq6nIynqd4h+P&#10;15/OMNKG1BnhomYpfmIaXyw/fjhv5IJFohA8YwpBklovGpniwhi5CAJNC1YRfSIkq2ExF6oiBqZq&#10;HWSKNJC94kE0mZwGjVCZVIIyreHuVbuIly5/njNqvue5ZgbxFAM3467KXVf2GizPyWKtiCxKuqdB&#10;3sCiImUNLz2kuiKGoI0q/0pVlVQJLXJzQkUViDwvKXM1QDXh5Fk1DwWRzNUC4mh5kEm/X1p6t71X&#10;qMxSPAV5alKBRzd7OeAOyNNIvQDUg7xXtkAtbwX9pWEhGKzYid5jdrmqLBbKQzun9dNBa7YziMLN&#10;eB5Hszm8k8JakiTRbOJeF5CFf5xutLlhwqUi21ttWrMyH5HCR3RX+1CB5dZs7sw2GIHZCiMwe9Wa&#10;LYmxz1l+NkRNj0uR4lkYR3OgYtcrsWWPwiGNLSRKZuEcI18MUO0QvO4joa4eyq/5UbpsLSZKpmeh&#10;ZQbZ/Lof+7hZGMXh6XQUMo5A3f8iu0psva9BH2fR5YZoGo3k4c33tVMuNGtlsTa9xa54Hs1Ok8RZ&#10;MZTvJdtawta6Id6T8mNrTB99XMQhm9fi/yX7O0vkHTgujkd6Ofz4XJbj/vdFeR36OYd3ESOOwrN4&#10;8Om+JIYlnsTTAdbL4MdWjj7y+MfeR4/5Dw7xY/5VXY1jPn27TXtNxvHp8GMM7dBHDYUN8rB3Q9zv&#10;DlrwMrsuObfbhFbr1SVXaEugDXz5an/7PagHc82r7Ve2c61E9gR9sIHOl2L9e0MUw4h/q6HTwjZt&#10;fKB8sPKBMvxSuLOF26GUNo+7n0RJJCFMsYF2dyd8HycL38ZsLQesfbIWnzdG5KXtcY5by2g/gebv&#10;GsT+oGJPF/25Q3XHqeUfAAAA//8DAFBLAwQUAAYACAAAACEA07Y9cOAAAAALAQAADwAAAGRycy9k&#10;b3ducmV2LnhtbEyPwU7DMBBE70j8g7VI3FqbNDRRGqcCKqAnJEI/wIlNHCW2o9htTb+e7QluO5rR&#10;7JtyG81ITmr2vbMcHpYMiLKtk73tOBy+Xhc5EB+ElWJ0VnH4UR621e1NKQrpzvZTnerQESyxvhAc&#10;dAhTQalvtTLCL92kLHrfbjYioJw7KmdxxnIz0oSxNTWit/hBi0m9aNUO9dFwGC4f+7fdYxOf6+E9&#10;6pzt1mN24fz+Lj5tgAQVw18YrviIDhUyNe5opScj6jTDLYHDYgXk6rM8TYE0eCXJKgNalfT/huoX&#10;AAD//wMAUEsBAi0AFAAGAAgAAAAhALaDOJL+AAAA4QEAABMAAAAAAAAAAAAAAAAAAAAAAFtDb250&#10;ZW50X1R5cGVzXS54bWxQSwECLQAUAAYACAAAACEAOP0h/9YAAACUAQAACwAAAAAAAAAAAAAAAAAv&#10;AQAAX3JlbHMvLnJlbHNQSwECLQAUAAYACAAAACEAmYadjdsCAACWCQAADgAAAAAAAAAAAAAAAAAu&#10;AgAAZHJzL2Uyb0RvYy54bWxQSwECLQAUAAYACAAAACEA07Y9cOAAAAALAQAADwAAAAAAAAAAAAAA&#10;AAA1BQAAZHJzL2Rvd25yZXYueG1sUEsFBgAAAAAEAAQA8wAAAEIGAAAAAA==&#10;" path="m27419,l,,,27381,,4125163r,27432l27419,4152595r,-27432l27419,27432,27419,xem5924677,4125163r-5897245,l27432,4152595r5897245,l5924677,4125163xem5924677,l27432,r,27432l5924677,27432r,-27432xem5952185,r-27432,l5924753,27381r,4097782l5924753,4152595r27432,l5952185,4125163r,-4097731l5952185,xe" fillcolor="#bebebe" stroked="f">
                <v:path arrowok="t"/>
                <w10:wrap anchorx="page"/>
              </v:shape>
            </w:pict>
          </mc:Fallback>
        </mc:AlternateContent>
      </w:r>
      <w:r>
        <w:t>UPPS memilki unit Gugus Penjamin Mutu (GPM) yang ditetapkan berdasarkan Surat Keputusan Direktur No 215/C.2/PPs.UPGRI/2018 tentang Pembentukan Gugus Penjamin Mutu Pascasarjana Universitas PGRI Palembang. GPM bertugas mengkoordinasikan, mengendalikan, mengaudit, memantau, menilai, dan mengembangkan mutu penyelenggaraan kegiatan akademik. UPPS telah memiliki Sistem Penjaminan Mutu Internal (SPMI) yang lengkap, terdiri dari kebijakan, manual, standar, dan formulir. SPMI ini telah disahkan berdasarkan surat keputusan Direktur PPS</w:t>
      </w:r>
      <w:r>
        <w:rPr>
          <w:spacing w:val="40"/>
        </w:rPr>
        <w:t xml:space="preserve"> </w:t>
      </w:r>
      <w:r>
        <w:t>No. 105/C.2/PPS/UPGRI/2018 tentang Dokumen Mutu Sistem Penjaminan Mutu Internal (SPMI) Program Pasasarjana Universitas PGRI Palembang, dan menjadi pedoman bagi UPPS dalam mewujudkan mutu pendidikan yang unggul. Keterlaksanaan Sistem Penjaminan Mutu Internal</w:t>
      </w:r>
      <w:r>
        <w:rPr>
          <w:spacing w:val="40"/>
        </w:rPr>
        <w:t xml:space="preserve"> </w:t>
      </w:r>
      <w:r>
        <w:t>(SPMI) UPPS mengikuti siklus PPEPP merupakan implementasi standar dikti mencakup Penetapan, Pelaksanaan, Evaluasi, Pengendalian, dan Peningkatan.</w:t>
      </w:r>
    </w:p>
    <w:p w:rsidR="006224A8" w:rsidRDefault="006224A8" w:rsidP="006224A8">
      <w:pPr>
        <w:pStyle w:val="ListParagraph"/>
        <w:numPr>
          <w:ilvl w:val="1"/>
          <w:numId w:val="1"/>
        </w:numPr>
        <w:tabs>
          <w:tab w:val="left" w:pos="1020"/>
        </w:tabs>
        <w:spacing w:line="267" w:lineRule="exact"/>
        <w:jc w:val="left"/>
      </w:pPr>
      <w:r>
        <w:t>Kebijakan</w:t>
      </w:r>
      <w:r>
        <w:rPr>
          <w:spacing w:val="-7"/>
        </w:rPr>
        <w:t xml:space="preserve"> </w:t>
      </w:r>
      <w:r>
        <w:rPr>
          <w:spacing w:val="-4"/>
        </w:rPr>
        <w:t>SPMI</w:t>
      </w:r>
    </w:p>
    <w:p w:rsidR="006224A8" w:rsidRDefault="006224A8" w:rsidP="006224A8">
      <w:pPr>
        <w:pStyle w:val="BodyText"/>
        <w:ind w:left="1034" w:right="449"/>
        <w:jc w:val="both"/>
      </w:pPr>
      <w:r>
        <w:t>Kebijakan SPMI disahkan berdasarkan surat keputusan Direktur PPS No. 105/C.2/PPS/UPGRI/2018 tentang Dokumen Mutu Sistem Penjaminan Mutu Internal (SPMI) Program Pasasarjana Universitas PGRI Palembang. Kebijakan SPMI merupakan dokumen utama dan sebagai landasan untuk menyusun dokumen yang lebih operasional sebagai turunannya yaitu manual SPMI, Standar SPMI dan Formulir SPMI. Semua dokumen untuk kepentingan Implementasi SPMI harus didasarkan kepada dokumen kebijakan SPMI, Statuta dan Renstra Universitas PGRI Palembang. Kebijakan SPMI berisi landasan filosofis, paradigm dan prinsip kelembagaan serta manajemen Universitas PGRI Palembang, berdasarkan visi, misi dan tujuan penyelenggaraan pendidikan Universitas PGRI Palembang. Kebijakan SPMI Pascasarjana merupakan turunan dari kebijakan SPMI Universitas PGRI Palembang.</w:t>
      </w:r>
    </w:p>
    <w:p w:rsidR="006224A8" w:rsidRDefault="006224A8" w:rsidP="006224A8">
      <w:pPr>
        <w:pStyle w:val="ListParagraph"/>
        <w:numPr>
          <w:ilvl w:val="1"/>
          <w:numId w:val="1"/>
        </w:numPr>
        <w:tabs>
          <w:tab w:val="left" w:pos="1020"/>
        </w:tabs>
        <w:spacing w:before="4"/>
        <w:jc w:val="left"/>
      </w:pPr>
      <w:r>
        <w:t>Dokumen</w:t>
      </w:r>
      <w:r>
        <w:rPr>
          <w:spacing w:val="-7"/>
        </w:rPr>
        <w:t xml:space="preserve"> </w:t>
      </w:r>
      <w:r>
        <w:rPr>
          <w:spacing w:val="-4"/>
        </w:rPr>
        <w:t>SPMI</w:t>
      </w:r>
    </w:p>
    <w:p w:rsidR="006224A8" w:rsidRDefault="006224A8" w:rsidP="006224A8">
      <w:pPr>
        <w:spacing w:before="36"/>
        <w:ind w:left="1020" w:right="447"/>
        <w:jc w:val="both"/>
      </w:pPr>
      <w:r>
        <w:t>UPPS</w:t>
      </w:r>
      <w:r>
        <w:rPr>
          <w:spacing w:val="17"/>
        </w:rPr>
        <w:t xml:space="preserve"> </w:t>
      </w:r>
      <w:r>
        <w:t>dalam</w:t>
      </w:r>
      <w:r>
        <w:rPr>
          <w:spacing w:val="21"/>
        </w:rPr>
        <w:t xml:space="preserve"> </w:t>
      </w:r>
      <w:r>
        <w:t>penyelenggaraan</w:t>
      </w:r>
      <w:r>
        <w:rPr>
          <w:spacing w:val="20"/>
        </w:rPr>
        <w:t xml:space="preserve"> </w:t>
      </w:r>
      <w:r>
        <w:t>pendidikan,</w:t>
      </w:r>
      <w:r>
        <w:rPr>
          <w:spacing w:val="18"/>
        </w:rPr>
        <w:t xml:space="preserve"> </w:t>
      </w:r>
      <w:r>
        <w:t>penelitian</w:t>
      </w:r>
      <w:r>
        <w:rPr>
          <w:spacing w:val="16"/>
        </w:rPr>
        <w:t xml:space="preserve"> </w:t>
      </w:r>
      <w:r>
        <w:t>dan</w:t>
      </w:r>
      <w:r>
        <w:rPr>
          <w:spacing w:val="20"/>
        </w:rPr>
        <w:t xml:space="preserve"> </w:t>
      </w:r>
      <w:r>
        <w:t>pengabdian</w:t>
      </w:r>
      <w:r>
        <w:rPr>
          <w:spacing w:val="24"/>
        </w:rPr>
        <w:t xml:space="preserve"> </w:t>
      </w:r>
      <w:r>
        <w:t>memastikannya</w:t>
      </w:r>
      <w:r>
        <w:rPr>
          <w:spacing w:val="17"/>
        </w:rPr>
        <w:t xml:space="preserve"> </w:t>
      </w:r>
      <w:r>
        <w:rPr>
          <w:spacing w:val="-2"/>
        </w:rPr>
        <w:t>dengan</w:t>
      </w:r>
      <w:r>
        <w:rPr>
          <w:spacing w:val="-2"/>
          <w:lang w:val="en-US"/>
        </w:rPr>
        <w:t xml:space="preserve"> m</w:t>
      </w:r>
      <w:r>
        <w:t>emperhatikan</w:t>
      </w:r>
      <w:r>
        <w:rPr>
          <w:spacing w:val="40"/>
        </w:rPr>
        <w:t xml:space="preserve"> </w:t>
      </w:r>
      <w:r>
        <w:t xml:space="preserve">pada SPMI UPPS. Sistem Penjaminan Mutu Internal (SPMI) PPS UPGRIP </w:t>
      </w:r>
      <w:r>
        <w:rPr>
          <w:b/>
        </w:rPr>
        <w:t xml:space="preserve">telah memiliki 4 dokumen yang telah ditetapkan dalam surat keputusan Direktur PPS No. 105/C.2/PPS/UPGRI/2018 tentang Dokumen Mutu Sistem </w:t>
      </w:r>
      <w:bookmarkStart w:id="0" w:name="_GoBack"/>
      <w:bookmarkEnd w:id="0"/>
      <w:r>
        <w:rPr>
          <w:b/>
        </w:rPr>
        <w:t xml:space="preserve">Penjaminan Mutu Internal (SPMI) Program Pasasarjana Universitas PGRI Palembang terdiri dari Kebijakan Mutu, Manual Mutu (Manual Mutu Pendidikan, Manual Mutu Penelitian, Manual Mutu PKM, dan Manual Mutu Tata Kola dan Kemahasiswaan). </w:t>
      </w:r>
      <w:r>
        <w:t>Dokumen Standar Mutu terdiri atas standar mutu pendidikan, standar mutu penelitian, standar mutu pengabdian masyarakat, dan standar mutu tata kelola dan kemahasiswaan. Standar mutu pendidikan terdiri atas 8 standar, Standar Mutu Penelitian 8 standar, standar mutu PKM 8 standar, dan 7 standar mutu tata kelola dan kemahasiswaan. Dokumen</w:t>
      </w:r>
      <w:r>
        <w:rPr>
          <w:spacing w:val="40"/>
        </w:rPr>
        <w:t xml:space="preserve"> </w:t>
      </w:r>
      <w:r>
        <w:t>Formulir Mutu memuat form yang berguna untuk merekam informasi pelaksanaan standar, berikut link dokumen standar mutu.</w:t>
      </w:r>
      <w:r>
        <w:rPr>
          <w:spacing w:val="40"/>
        </w:rPr>
        <w:t xml:space="preserve"> </w:t>
      </w:r>
      <w:r>
        <w:t>Manual standar penjaminan mutu internal yang telah ditetapkan oleh penyelenggaraan dalam bidang pendidikan, penelitian, dan pengabdian (SPMI) mencakup proses tridharma perguruan tinggi yang mencerminkan komitmen dalam peningkatan</w:t>
      </w:r>
      <w:r>
        <w:rPr>
          <w:spacing w:val="-3"/>
        </w:rPr>
        <w:t xml:space="preserve"> </w:t>
      </w:r>
      <w:r>
        <w:t>mutu.</w:t>
      </w:r>
      <w:r>
        <w:rPr>
          <w:spacing w:val="-1"/>
        </w:rPr>
        <w:t xml:space="preserve"> </w:t>
      </w:r>
      <w:r>
        <w:t>Manual</w:t>
      </w:r>
      <w:r>
        <w:rPr>
          <w:spacing w:val="-1"/>
        </w:rPr>
        <w:t xml:space="preserve"> </w:t>
      </w:r>
      <w:r>
        <w:t>SPMI</w:t>
      </w:r>
      <w:r>
        <w:rPr>
          <w:spacing w:val="-1"/>
        </w:rPr>
        <w:t xml:space="preserve"> </w:t>
      </w:r>
      <w:r>
        <w:t>meliputi peroses</w:t>
      </w:r>
      <w:r>
        <w:rPr>
          <w:spacing w:val="-2"/>
        </w:rPr>
        <w:t xml:space="preserve"> </w:t>
      </w:r>
      <w:r>
        <w:t>belajar</w:t>
      </w:r>
      <w:r>
        <w:rPr>
          <w:spacing w:val="-3"/>
        </w:rPr>
        <w:t xml:space="preserve"> </w:t>
      </w:r>
      <w:r>
        <w:t>mengajar,</w:t>
      </w:r>
      <w:r>
        <w:rPr>
          <w:spacing w:val="-5"/>
        </w:rPr>
        <w:t xml:space="preserve"> </w:t>
      </w:r>
      <w:r>
        <w:t>penelitian,</w:t>
      </w:r>
      <w:r>
        <w:rPr>
          <w:spacing w:val="-5"/>
        </w:rPr>
        <w:t xml:space="preserve"> </w:t>
      </w:r>
      <w:r>
        <w:t>dan</w:t>
      </w:r>
      <w:r>
        <w:rPr>
          <w:spacing w:val="-3"/>
        </w:rPr>
        <w:t xml:space="preserve"> </w:t>
      </w:r>
      <w:r>
        <w:t>pengabdian kepada masyarakat, serta memiliki aktifitas yang mencerminkan komitmen dalam peningkatan mutu baik dari pendidikan, penelitian, dan pengabdian.</w:t>
      </w:r>
    </w:p>
    <w:p w:rsidR="006224A8" w:rsidRPr="006224A8" w:rsidRDefault="006224A8" w:rsidP="006224A8">
      <w:pPr>
        <w:pStyle w:val="BodyText"/>
        <w:ind w:left="1020"/>
        <w:jc w:val="both"/>
        <w:rPr>
          <w:lang w:val="en-US"/>
        </w:rPr>
      </w:pPr>
    </w:p>
    <w:p w:rsidR="006224A8" w:rsidRDefault="006224A8" w:rsidP="006224A8">
      <w:pPr>
        <w:pStyle w:val="BodyText"/>
        <w:jc w:val="both"/>
        <w:sectPr w:rsidR="006224A8" w:rsidSect="006224A8">
          <w:pgSz w:w="11910" w:h="16850"/>
          <w:pgMar w:top="1320" w:right="850" w:bottom="1160" w:left="992" w:header="0" w:footer="960" w:gutter="0"/>
          <w:cols w:space="720"/>
        </w:sectPr>
      </w:pPr>
    </w:p>
    <w:p w:rsidR="006224A8" w:rsidRDefault="006224A8" w:rsidP="006224A8">
      <w:pPr>
        <w:spacing w:before="36"/>
        <w:ind w:left="1020" w:right="447"/>
        <w:jc w:val="both"/>
      </w:pPr>
      <w:r>
        <w:rPr>
          <w:noProof/>
        </w:rPr>
        <w:lastRenderedPageBreak/>
        <mc:AlternateContent>
          <mc:Choice Requires="wps">
            <w:drawing>
              <wp:anchor distT="0" distB="0" distL="0" distR="0" simplePos="0" relativeHeight="251660288" behindDoc="1" locked="0" layoutInCell="1" allowOverlap="1" wp14:anchorId="1EB73692" wp14:editId="75B5331C">
                <wp:simplePos x="0" y="0"/>
                <wp:positionH relativeFrom="page">
                  <wp:posOffset>933450</wp:posOffset>
                </wp:positionH>
                <wp:positionV relativeFrom="page">
                  <wp:posOffset>857251</wp:posOffset>
                </wp:positionV>
                <wp:extent cx="5952490" cy="733425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7334250"/>
                        </a:xfrm>
                        <a:custGeom>
                          <a:avLst/>
                          <a:gdLst/>
                          <a:ahLst/>
                          <a:cxnLst/>
                          <a:rect l="l" t="t" r="r" b="b"/>
                          <a:pathLst>
                            <a:path w="5952490" h="8927465">
                              <a:moveTo>
                                <a:pt x="27419" y="27508"/>
                              </a:moveTo>
                              <a:lnTo>
                                <a:pt x="0" y="27508"/>
                              </a:lnTo>
                              <a:lnTo>
                                <a:pt x="0" y="8899601"/>
                              </a:lnTo>
                              <a:lnTo>
                                <a:pt x="0" y="8927033"/>
                              </a:lnTo>
                              <a:lnTo>
                                <a:pt x="27419" y="8927033"/>
                              </a:lnTo>
                              <a:lnTo>
                                <a:pt x="27419" y="8899601"/>
                              </a:lnTo>
                              <a:lnTo>
                                <a:pt x="27419" y="27508"/>
                              </a:lnTo>
                              <a:close/>
                            </a:path>
                            <a:path w="5952490" h="8927465">
                              <a:moveTo>
                                <a:pt x="27419" y="0"/>
                              </a:moveTo>
                              <a:lnTo>
                                <a:pt x="0" y="0"/>
                              </a:lnTo>
                              <a:lnTo>
                                <a:pt x="0" y="27432"/>
                              </a:lnTo>
                              <a:lnTo>
                                <a:pt x="27419" y="27432"/>
                              </a:lnTo>
                              <a:lnTo>
                                <a:pt x="27419" y="0"/>
                              </a:lnTo>
                              <a:close/>
                            </a:path>
                            <a:path w="5952490" h="8927465">
                              <a:moveTo>
                                <a:pt x="5924677" y="8899601"/>
                              </a:moveTo>
                              <a:lnTo>
                                <a:pt x="27432" y="8899601"/>
                              </a:lnTo>
                              <a:lnTo>
                                <a:pt x="27432" y="8927033"/>
                              </a:lnTo>
                              <a:lnTo>
                                <a:pt x="5924677" y="8927033"/>
                              </a:lnTo>
                              <a:lnTo>
                                <a:pt x="5924677" y="8899601"/>
                              </a:lnTo>
                              <a:close/>
                            </a:path>
                            <a:path w="5952490" h="8927465">
                              <a:moveTo>
                                <a:pt x="5924677" y="0"/>
                              </a:moveTo>
                              <a:lnTo>
                                <a:pt x="27432" y="0"/>
                              </a:lnTo>
                              <a:lnTo>
                                <a:pt x="27432" y="27432"/>
                              </a:lnTo>
                              <a:lnTo>
                                <a:pt x="5924677" y="27432"/>
                              </a:lnTo>
                              <a:lnTo>
                                <a:pt x="5924677" y="0"/>
                              </a:lnTo>
                              <a:close/>
                            </a:path>
                            <a:path w="5952490" h="8927465">
                              <a:moveTo>
                                <a:pt x="5952185" y="27508"/>
                              </a:moveTo>
                              <a:lnTo>
                                <a:pt x="5924753" y="27508"/>
                              </a:lnTo>
                              <a:lnTo>
                                <a:pt x="5924753" y="8899601"/>
                              </a:lnTo>
                              <a:lnTo>
                                <a:pt x="5924753" y="8927033"/>
                              </a:lnTo>
                              <a:lnTo>
                                <a:pt x="5952185" y="8927033"/>
                              </a:lnTo>
                              <a:lnTo>
                                <a:pt x="5952185" y="8899601"/>
                              </a:lnTo>
                              <a:lnTo>
                                <a:pt x="5952185" y="27508"/>
                              </a:lnTo>
                              <a:close/>
                            </a:path>
                            <a:path w="5952490" h="8927465">
                              <a:moveTo>
                                <a:pt x="5952185" y="0"/>
                              </a:moveTo>
                              <a:lnTo>
                                <a:pt x="5924753" y="0"/>
                              </a:lnTo>
                              <a:lnTo>
                                <a:pt x="5924753" y="27432"/>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076C202" id="Graphic 31" o:spid="_x0000_s1026" style="position:absolute;margin-left:73.5pt;margin-top:67.5pt;width:468.7pt;height:577.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952490,8927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bcDAMAAA4LAAAOAAAAZHJzL2Uyb0RvYy54bWy0Vttu2zAMfR+wfxD0vtpx4txQp9jatRgw&#10;dAXaYc+KLCfGbEuTlEv/fpQcJk7Srs6WwYBFWcfU4SEh8fJqXRZkKbTJZZXQzkVIiai4TPNqltDv&#10;T7cfhpQYy6qUFbISCX0Whl5N3r+7XKmxiORcFqnQBJxUZrxSCZ1bq8ZBYPhclMxcSCUqWMykLpmF&#10;qZ4FqWYr8F4WQRSG/WAldaq05MIY+HpTL9KJ959lgttvWWaEJUVCgZv1b+3fU/cOJpdsPNNMzXO+&#10;ocH+gkXJ8go23bq6YZaRhc6PXJU519LIzF5wWQYyy3IufAwQTSc8iOZxzpTwsYA4Rm1lMudzy++X&#10;D5rkaUK7HUoqVkKO7jZywBeQZ6XMGFCP6kG7AI36KvlPAwvB3oqbmA1mnenSYSE8svZaP2+1FmtL&#10;OHyMR3HUG0FKOKwNut1eFPtsBGyMv/OFsXdCelds+dXYOlkpWmyOFl9XaGpIuUt24ZNtKYFka0og&#10;2dM62YpZ95/j50yyanCZJ3Q4iga9fuyTWcqleJIeaV0gsNIZUQKEo0EcDp0/oLtDFVUTDbEdIHEd&#10;R+W91rjhcDTqh15x8IkIHPeQwDDsdje7IwLHGrlj6uI5Ad2Cxc53UwXcnxfSiFoYJ++/yYwV8WeJ&#10;EYUUcGyKBqS7UUvJTsEe7n2G8ONR1OsPBr569qviNRlqwq7a9vEoBI7b2gApPLpFbeyxORX/YjWd&#10;WSLMwNviIBLlwPFQlrfz3xTlNPQhh7OIEUedYXx02rwmiCM/iLtHeJQDx1qWJrpNde3hW9XLjn2b&#10;s8rdGxhtOz47/H86r5qUML9txEcsCo7jsfBtaqwZ5ltn3UuMcfejioTraHtngt28lY0s8vQ2Lwp3&#10;zBs9m14XmiwZXL+fPrtnc+A2YL5pqPsE1zFMZfoM/ccKOo6Eml8LpgUlxZcKOhzXraGh0ZiioW1x&#10;LX1P528YbezT+gfTiigwE2qhzbiX2D+xMbYPLpYt1v1ZyY8LK7Pc9RaeW81oM4Gmy1/xmwbRdXXN&#10;uUft2tjJbwAAAP//AwBQSwMEFAAGAAgAAAAhADFNArThAAAADQEAAA8AAABkcnMvZG93bnJldi54&#10;bWxMj8FOwzAQRO9I/IO1SNyoTQi0hDhVhYSEkBBqmws3NzFxwF5HttuEfn23J7i90Y5mZ8rl5Cw7&#10;6BB7jxJuZwKYxsa3PXYS6u3LzQJYTApbZT1qCb86wrK6vChV0foR1/qwSR2jEIyFkmBSGgrOY2O0&#10;U3HmB410+/LBqUQydLwNaqRwZ3kmxAN3qkf6YNSgn41ufjZ7J2Eejm79Or4p+70ytfl8zz62tZPy&#10;+mpaPQFLekp/ZjjXp+pQUaed32MbmSWdz2lLIri7Jzg7xCLPge2IskchgFcl/7+iOgEAAP//AwBQ&#10;SwECLQAUAAYACAAAACEAtoM4kv4AAADhAQAAEwAAAAAAAAAAAAAAAAAAAAAAW0NvbnRlbnRfVHlw&#10;ZXNdLnhtbFBLAQItABQABgAIAAAAIQA4/SH/1gAAAJQBAAALAAAAAAAAAAAAAAAAAC8BAABfcmVs&#10;cy8ucmVsc1BLAQItABQABgAIAAAAIQCCpEbcDAMAAA4LAAAOAAAAAAAAAAAAAAAAAC4CAABkcnMv&#10;ZTJvRG9jLnhtbFBLAQItABQABgAIAAAAIQAxTQK04QAAAA0BAAAPAAAAAAAAAAAAAAAAAGYFAABk&#10;cnMvZG93bnJldi54bWxQSwUGAAAAAAQABADzAAAAdAYAAAAA&#10;" path="m27419,27508l,27508,,8899601r,27432l27419,8927033r,-27432l27419,27508xem27419,l,,,27432r27419,l27419,xem5924677,8899601r-5897245,l27432,8927033r5897245,l5924677,8899601xem5924677,l27432,r,27432l5924677,27432r,-27432xem5952185,27508r-27432,l5924753,8899601r,27432l5952185,8927033r,-27432l5952185,27508xem5952185,r-27432,l5924753,27432r27432,l5952185,xe" fillcolor="#bebebe" stroked="f">
                <v:path arrowok="t"/>
                <w10:wrap anchorx="page" anchory="page"/>
              </v:shape>
            </w:pict>
          </mc:Fallback>
        </mc:AlternateContent>
      </w:r>
    </w:p>
    <w:p w:rsidR="006224A8" w:rsidRDefault="006224A8" w:rsidP="006224A8">
      <w:pPr>
        <w:pStyle w:val="ListParagraph"/>
        <w:numPr>
          <w:ilvl w:val="1"/>
          <w:numId w:val="1"/>
        </w:numPr>
        <w:tabs>
          <w:tab w:val="left" w:pos="1018"/>
        </w:tabs>
        <w:spacing w:before="6"/>
        <w:ind w:left="1018" w:hanging="426"/>
        <w:jc w:val="both"/>
      </w:pPr>
      <w:r>
        <w:t>Pelaksanaan</w:t>
      </w:r>
      <w:r>
        <w:rPr>
          <w:spacing w:val="-2"/>
        </w:rPr>
        <w:t xml:space="preserve"> </w:t>
      </w:r>
      <w:r>
        <w:rPr>
          <w:spacing w:val="-4"/>
        </w:rPr>
        <w:t>SPMI</w:t>
      </w:r>
    </w:p>
    <w:p w:rsidR="006224A8" w:rsidRDefault="006224A8" w:rsidP="006224A8">
      <w:pPr>
        <w:pStyle w:val="BodyText"/>
        <w:ind w:left="1020" w:right="340"/>
        <w:jc w:val="both"/>
      </w:pPr>
      <w:r>
        <w:t xml:space="preserve">Pelaksanaan PPEPP telah dilakukan secara konsisten dan berkelanjutan, terbukti melalui evaluasi penjaminan mutu yang dilakukan untuk menilai aspek-aspek yang relevan dalam perbaikan menuju pencapaian standar penjaminan mutu. Evaluasi penjaminan mutu dilakukan melalui langkah-langkah sebagai berikut: </w:t>
      </w:r>
      <w:r>
        <w:rPr>
          <w:b/>
        </w:rPr>
        <w:t xml:space="preserve">1) Tahap persiapan </w:t>
      </w:r>
      <w:r>
        <w:t xml:space="preserve">mencakup persiapan teknis dan administratif, di mana GPM melakukan koordinasi dengan universitas, fakultas, dan program studi untuk mengimplementasikan standar penjaminan mutu; </w:t>
      </w:r>
      <w:r>
        <w:rPr>
          <w:b/>
        </w:rPr>
        <w:t xml:space="preserve">2) Tahap penyusunan </w:t>
      </w:r>
      <w:r>
        <w:t xml:space="preserve">mencakup pembuatan SOP dan formulir yang berkaitan dengan standar SPMI; </w:t>
      </w:r>
      <w:r>
        <w:rPr>
          <w:b/>
        </w:rPr>
        <w:t>3) Tahap sosialisasi</w:t>
      </w:r>
      <w:r>
        <w:t xml:space="preserve">, di mana pimpinan bersama SPM melakukan penyuluhan tentang standar mutu, termasuk SOP dan formulir, kepada seluruh unit kerja seperti bidang akademik, dosen, tenaga kependidikan, mahasiswa, stakeholder, dan alumni; </w:t>
      </w:r>
      <w:r>
        <w:rPr>
          <w:b/>
        </w:rPr>
        <w:t>4) Tahap pelaksanaan</w:t>
      </w:r>
      <w:r>
        <w:t>, di mana setiap unit mengikuti pedoman yang tercantum dalam standar, SOP, dan formulir yang ditetapkan sesuai dengan</w:t>
      </w:r>
      <w:r>
        <w:rPr>
          <w:spacing w:val="80"/>
        </w:rPr>
        <w:t xml:space="preserve"> </w:t>
      </w:r>
      <w:r>
        <w:t xml:space="preserve">SPMI; </w:t>
      </w:r>
      <w:r>
        <w:rPr>
          <w:b/>
        </w:rPr>
        <w:t xml:space="preserve">5) Tahap monitoring dan evaluasi, </w:t>
      </w:r>
      <w:r>
        <w:t xml:space="preserve">di mana satuan penjaminan mutu membentuk tim untuk melaksanakan pemantauan dan evaluasi secara berkala sesuai dengan jadwal yang telah ditentukan, seperti pemantauan pembelajaran, ujian tengah semester, ujian akhir semester, penelitian dan pengabdian dosen, serta beban kerja dosen; </w:t>
      </w:r>
      <w:r>
        <w:rPr>
          <w:b/>
        </w:rPr>
        <w:t xml:space="preserve">6) Tahap pencatatan dan pemeriksaan, </w:t>
      </w:r>
      <w:r>
        <w:t xml:space="preserve">di mana tim monitoring dan evaluasi memeriksa penerapan tri dharma perguruan tinggi di setiap unit program studi, serta menganalisis temuan-temuan terkait pelaksanaan yang sesuai dengan standar dan kelengkapan SPMI. </w:t>
      </w:r>
      <w:r>
        <w:rPr>
          <w:b/>
        </w:rPr>
        <w:t>7) Tahap pengambilan tindakan</w:t>
      </w:r>
      <w:r>
        <w:t xml:space="preserve">, di mana tim monitoring melakukan evaluasi untuk mengoreksi ketidaksesuaian atau kelengkapan dokumen pelaksanaan standar SPMI. Selanjutnya, diadakan rapat bersama pimpinan PPS UPGRIP dan unit program studi untuk menganalisis faktor-faktor penyebab ketidaksesuaian, seperti dosen yang terlambat menginput nilai, yang kemudian diberikan surat teguran; dan </w:t>
      </w:r>
      <w:r>
        <w:rPr>
          <w:b/>
        </w:rPr>
        <w:t xml:space="preserve">8) Tahap pembuatan laporan, </w:t>
      </w:r>
      <w:r>
        <w:t>di mana tim monitoring dan evaluasi menyusun laporan tertulis yang disampaikan kepada Direktur melalui Asistern Direktur 1 untuk dilaksanakan rapat manajemen guna memperbaiki standar. Jika standar telah tercapai, maka dilakukan tahap peningkatan.</w:t>
      </w:r>
    </w:p>
    <w:p w:rsidR="006224A8" w:rsidRDefault="006224A8" w:rsidP="006224A8">
      <w:pPr>
        <w:pStyle w:val="BodyText"/>
        <w:ind w:left="1020" w:right="341" w:firstLine="590"/>
        <w:jc w:val="both"/>
      </w:pPr>
      <w:r>
        <w:t>Pelaksanaan SPMI pada Tri Dharma Perguruan Tinggi mencakup kegiatan akademik dan non-akademik, dengan penilaian dan pengukuran terhadap pencapaian pelaksanaan dan pemenuhan yang dilakukan melalui sistem monitoring yang berkelanjutan, evaluasi, audit mutu, serta</w:t>
      </w:r>
      <w:r>
        <w:rPr>
          <w:spacing w:val="-2"/>
        </w:rPr>
        <w:t xml:space="preserve"> </w:t>
      </w:r>
      <w:r>
        <w:t>survei kepuasan.</w:t>
      </w:r>
      <w:r>
        <w:rPr>
          <w:spacing w:val="-1"/>
        </w:rPr>
        <w:t xml:space="preserve"> </w:t>
      </w:r>
      <w:r>
        <w:t>Salah</w:t>
      </w:r>
      <w:r>
        <w:rPr>
          <w:spacing w:val="-3"/>
        </w:rPr>
        <w:t xml:space="preserve"> </w:t>
      </w:r>
      <w:r>
        <w:t>satu contoh</w:t>
      </w:r>
      <w:r>
        <w:rPr>
          <w:spacing w:val="-3"/>
        </w:rPr>
        <w:t xml:space="preserve"> </w:t>
      </w:r>
      <w:r>
        <w:t>kegiatan</w:t>
      </w:r>
      <w:r>
        <w:rPr>
          <w:spacing w:val="-3"/>
        </w:rPr>
        <w:t xml:space="preserve"> </w:t>
      </w:r>
      <w:r>
        <w:t>yang</w:t>
      </w:r>
      <w:r>
        <w:rPr>
          <w:spacing w:val="-1"/>
        </w:rPr>
        <w:t xml:space="preserve"> </w:t>
      </w:r>
      <w:r>
        <w:t>dilakukan</w:t>
      </w:r>
      <w:r>
        <w:rPr>
          <w:spacing w:val="-4"/>
        </w:rPr>
        <w:t xml:space="preserve"> </w:t>
      </w:r>
      <w:r>
        <w:t>adalah</w:t>
      </w:r>
      <w:r>
        <w:rPr>
          <w:spacing w:val="-3"/>
        </w:rPr>
        <w:t xml:space="preserve"> </w:t>
      </w:r>
      <w:r>
        <w:t>monitoring</w:t>
      </w:r>
      <w:r>
        <w:rPr>
          <w:spacing w:val="-1"/>
        </w:rPr>
        <w:t xml:space="preserve"> </w:t>
      </w:r>
      <w:r>
        <w:t>dan</w:t>
      </w:r>
      <w:r>
        <w:rPr>
          <w:spacing w:val="-3"/>
        </w:rPr>
        <w:t xml:space="preserve"> </w:t>
      </w:r>
      <w:r>
        <w:t>evaluasi (monev) kinerja dosen yang dilaksanakan pada akhir setiap semester tahun akademik. Dosen melaporkan kinerja Tri Dharma Perguruan Tinggi yang telah dilaksanakan melalui aplikasi SISTER BKD dan mengumpulkan bukti fisik kepada GPM melalui unit penjaminan mutu (UPM) Program Studi, selanjutnya GPM bersama UPM menganalisis pencapaian kinerja dosen dan menyusun laporan monev yang kemudian disampaikan kepada Direktur. Laporan hasil evaluasi kinerja</w:t>
      </w:r>
      <w:r>
        <w:rPr>
          <w:spacing w:val="40"/>
        </w:rPr>
        <w:t xml:space="preserve"> </w:t>
      </w:r>
      <w:r>
        <w:t>dosen selanjutnya ditindaklanjuti oleh Direktur melalui Rapat Tinjauan Manajemen (RTM).</w:t>
      </w:r>
    </w:p>
    <w:p w:rsidR="006224A8" w:rsidRDefault="006224A8" w:rsidP="006224A8">
      <w:pPr>
        <w:pStyle w:val="BodyText"/>
        <w:jc w:val="both"/>
        <w:sectPr w:rsidR="006224A8">
          <w:pgSz w:w="11910" w:h="16850"/>
          <w:pgMar w:top="1340" w:right="850" w:bottom="1160" w:left="992" w:header="0" w:footer="960" w:gutter="0"/>
          <w:cols w:space="720"/>
        </w:sectPr>
      </w:pPr>
    </w:p>
    <w:p w:rsidR="006224A8" w:rsidRDefault="006224A8" w:rsidP="006224A8">
      <w:pPr>
        <w:pStyle w:val="ListParagraph"/>
        <w:numPr>
          <w:ilvl w:val="1"/>
          <w:numId w:val="1"/>
        </w:numPr>
        <w:tabs>
          <w:tab w:val="left" w:pos="1312"/>
        </w:tabs>
        <w:spacing w:before="36"/>
        <w:ind w:left="1312" w:hanging="268"/>
        <w:jc w:val="left"/>
      </w:pPr>
      <w:r>
        <w:rPr>
          <w:noProof/>
        </w:rPr>
        <w:lastRenderedPageBreak/>
        <mc:AlternateContent>
          <mc:Choice Requires="wps">
            <w:drawing>
              <wp:anchor distT="0" distB="0" distL="0" distR="0" simplePos="0" relativeHeight="251661312" behindDoc="1" locked="0" layoutInCell="1" allowOverlap="1" wp14:anchorId="4376C297" wp14:editId="3E13F9CA">
                <wp:simplePos x="0" y="0"/>
                <wp:positionH relativeFrom="page">
                  <wp:posOffset>914400</wp:posOffset>
                </wp:positionH>
                <wp:positionV relativeFrom="paragraph">
                  <wp:posOffset>0</wp:posOffset>
                </wp:positionV>
                <wp:extent cx="5952490" cy="87630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8763000"/>
                        </a:xfrm>
                        <a:custGeom>
                          <a:avLst/>
                          <a:gdLst/>
                          <a:ahLst/>
                          <a:cxnLst/>
                          <a:rect l="l" t="t" r="r" b="b"/>
                          <a:pathLst>
                            <a:path w="5952490" h="7564755">
                              <a:moveTo>
                                <a:pt x="27419" y="0"/>
                              </a:moveTo>
                              <a:lnTo>
                                <a:pt x="0" y="0"/>
                              </a:lnTo>
                              <a:lnTo>
                                <a:pt x="0" y="27432"/>
                              </a:lnTo>
                              <a:lnTo>
                                <a:pt x="0" y="7536815"/>
                              </a:lnTo>
                              <a:lnTo>
                                <a:pt x="0" y="7564247"/>
                              </a:lnTo>
                              <a:lnTo>
                                <a:pt x="27419" y="7564247"/>
                              </a:lnTo>
                              <a:lnTo>
                                <a:pt x="27419" y="7536815"/>
                              </a:lnTo>
                              <a:lnTo>
                                <a:pt x="27419" y="27432"/>
                              </a:lnTo>
                              <a:lnTo>
                                <a:pt x="27419" y="0"/>
                              </a:lnTo>
                              <a:close/>
                            </a:path>
                            <a:path w="5952490" h="7564755">
                              <a:moveTo>
                                <a:pt x="5924677" y="7536815"/>
                              </a:moveTo>
                              <a:lnTo>
                                <a:pt x="27432" y="7536815"/>
                              </a:lnTo>
                              <a:lnTo>
                                <a:pt x="27432" y="7564247"/>
                              </a:lnTo>
                              <a:lnTo>
                                <a:pt x="5924677" y="7564247"/>
                              </a:lnTo>
                              <a:lnTo>
                                <a:pt x="5924677" y="7536815"/>
                              </a:lnTo>
                              <a:close/>
                            </a:path>
                            <a:path w="5952490" h="7564755">
                              <a:moveTo>
                                <a:pt x="5924677" y="0"/>
                              </a:moveTo>
                              <a:lnTo>
                                <a:pt x="27432" y="0"/>
                              </a:lnTo>
                              <a:lnTo>
                                <a:pt x="27432" y="27432"/>
                              </a:lnTo>
                              <a:lnTo>
                                <a:pt x="5924677" y="27432"/>
                              </a:lnTo>
                              <a:lnTo>
                                <a:pt x="5924677" y="0"/>
                              </a:lnTo>
                              <a:close/>
                            </a:path>
                            <a:path w="5952490" h="7564755">
                              <a:moveTo>
                                <a:pt x="5952185" y="0"/>
                              </a:moveTo>
                              <a:lnTo>
                                <a:pt x="5924753" y="0"/>
                              </a:lnTo>
                              <a:lnTo>
                                <a:pt x="5924753" y="27432"/>
                              </a:lnTo>
                              <a:lnTo>
                                <a:pt x="5924753" y="7536815"/>
                              </a:lnTo>
                              <a:lnTo>
                                <a:pt x="5924753" y="7564247"/>
                              </a:lnTo>
                              <a:lnTo>
                                <a:pt x="5952185" y="7564247"/>
                              </a:lnTo>
                              <a:lnTo>
                                <a:pt x="5952185" y="7536815"/>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9CEE384" id="Graphic 32" o:spid="_x0000_s1026" style="position:absolute;margin-left:1in;margin-top:0;width:468.7pt;height:690pt;z-index:-2516551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952490,7564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f2gIAAJYJAAAOAAAAZHJzL2Uyb0RvYy54bWysVtFumzAUfZ+0f7D8vpLQEBJUUm3tWk2q&#10;2krttGfHmIBmsGc7If37XZs4kKxdkqqKhK/x4eaec8DXF5friqMVU7oUdYqHZwOMWE1FVtaLFP98&#10;vvkywUgbUmeEi5ql+IVpfDn7/OmikQkLRSF4xhSCJLVOGpniwhiZBIGmBauIPhOS1bCYC1URA1O1&#10;CDJFGshe8SAcDMZBI1QmlaBMa7h73S7imcuf54yahzzXzCCeYqjNuKty17m9BrMLkiwUkUVJN2WQ&#10;d1RRkbKGP92muiaGoKUq/0lVlVQJLXJzRkUViDwvKXMcgM1wsMfmqSCSOS4gjpZbmfTHpaX3q0eF&#10;yizF5yFGNanAo9uNHHAH5GmkTgD1JB+VJajlnaC/NSwEOyt2ojeYda4qiwV6aO20ftlqzdYGUbgZ&#10;TaNwNAVLKKxN4vH5YODcCEjiH6dLbW6ZcKnI6k6b1qzMR6TwEV3XPlRguTWbO7MNRmC2wgjMnrdm&#10;S2Lsc7Y+G6KmV0uR4jgaj+IocmZWYsWehUMaSySMR8MpRp4MlNoheN1HAq8eyq/5UbpsLQZytjpD&#10;Nr/uxz4ujs7Hk2FkORxEjkfhKP4vsmNi+Z6CPlxFl/swtw7rzffcKReatWStTe+xK5qGo3EcOyt2&#10;5XvLtrZga90u3hflx9aYPvqwiLvVnIp/TfYPlsg7cFgcj/Ry+HFflsP+90U5Db1fw4eIEYXDSbTz&#10;6b4lhi0c3pEdrJfBj60cfeRxFH3eY97BfvZjPmW77XqOp+Nfewv32Xb5j2HboQ8aCtvedu+GuN8d&#10;tOBldlNybrcJrRbzK67QikAb+Pbd/jZ7YQ/mmlfbr2znmovsBfpgA50vxfrPkiiGEf9RQ6e1pwYf&#10;KB/MfaAMvxLubOF2KKXN8/oXURJJCFNsoN3dC9/HSeLbmOWyxdona/F1aURe2h7namsr2kyg+btt&#10;f3NQsaeL/tyhuuPU7C8AAAD//wMAUEsDBBQABgAIAAAAIQB82sgX3wAAAAoBAAAPAAAAZHJzL2Rv&#10;d25yZXYueG1sTI/BTsMwEETvSPyDtUjcqN0mQlGIUxUkLr0ALYirG5sk1F4H20nD37M90ctqR7Oa&#10;fVOtZ2fZZELsPUpYLgQwg43XPbYS3vfPdwWwmBRqZT0aCb8mwrq+vqpUqf0J38y0Sy2jEIylktCl&#10;NJScx6YzTsWFHwyS9+WDU4lkaLkO6kThzvKVEPfcqR7pQ6cG89SZ5rgbnYRsk75XH3v7+rnNmvHx&#10;uP2ZXoKS8vZm3jwAS2ZO/8dwxid0qInp4EfUkVnSeU5dkgSaZ1sUyxzYgbasEAJ4XfHLCvUfAAAA&#10;//8DAFBLAQItABQABgAIAAAAIQC2gziS/gAAAOEBAAATAAAAAAAAAAAAAAAAAAAAAABbQ29udGVu&#10;dF9UeXBlc10ueG1sUEsBAi0AFAAGAAgAAAAhADj9If/WAAAAlAEAAAsAAAAAAAAAAAAAAAAALwEA&#10;AF9yZWxzLy5yZWxzUEsBAi0AFAAGAAgAAAAhABj7dh/aAgAAlgkAAA4AAAAAAAAAAAAAAAAALgIA&#10;AGRycy9lMm9Eb2MueG1sUEsBAi0AFAAGAAgAAAAhAHzayBffAAAACgEAAA8AAAAAAAAAAAAAAAAA&#10;NAUAAGRycy9kb3ducmV2LnhtbFBLBQYAAAAABAAEAPMAAABABgAAAAA=&#10;" path="m27419,l,,,27432,,7536815r,27432l27419,7564247r,-27432l27419,27432,27419,xem5924677,7536815r-5897245,l27432,7564247r5897245,l5924677,7536815xem5924677,l27432,r,27432l5924677,27432r,-27432xem5952185,r-27432,l5924753,27432r,7509383l5924753,7564247r27432,l5952185,7536815r,-7509383l5952185,xe" fillcolor="#bebebe" stroked="f">
                <v:path arrowok="t"/>
                <w10:wrap anchorx="page"/>
              </v:shape>
            </w:pict>
          </mc:Fallback>
        </mc:AlternateContent>
      </w:r>
      <w:r>
        <w:t>Laporan</w:t>
      </w:r>
      <w:r>
        <w:rPr>
          <w:spacing w:val="-12"/>
        </w:rPr>
        <w:t xml:space="preserve"> </w:t>
      </w:r>
      <w:r>
        <w:rPr>
          <w:spacing w:val="-4"/>
        </w:rPr>
        <w:t>SPMI</w:t>
      </w:r>
    </w:p>
    <w:p w:rsidR="006224A8" w:rsidRDefault="006224A8" w:rsidP="006224A8">
      <w:pPr>
        <w:pStyle w:val="BodyText"/>
        <w:ind w:left="1020" w:right="336"/>
        <w:jc w:val="both"/>
      </w:pPr>
      <w:r>
        <w:t>SOP yang diterapkan oleh PPS UPGRIP mencakup penetapan SK untuk dosen pembimbing Tesis, dosen pengampu mata kuliah, serta pengajuan surat izin untuk kegiatan penelitian, seminar proposal, ujian tesis, ujian tengah semester, ujian akhir semester, penilaian BKD, dan SOP perkuliahan.</w:t>
      </w:r>
      <w:r>
        <w:rPr>
          <w:spacing w:val="-2"/>
        </w:rPr>
        <w:t xml:space="preserve"> </w:t>
      </w:r>
      <w:r>
        <w:t>Pelaksanaan</w:t>
      </w:r>
      <w:r>
        <w:rPr>
          <w:spacing w:val="-4"/>
        </w:rPr>
        <w:t xml:space="preserve"> </w:t>
      </w:r>
      <w:r>
        <w:t>monitoring</w:t>
      </w:r>
      <w:r>
        <w:rPr>
          <w:spacing w:val="-2"/>
        </w:rPr>
        <w:t xml:space="preserve"> </w:t>
      </w:r>
      <w:r>
        <w:t>untuk</w:t>
      </w:r>
      <w:r>
        <w:rPr>
          <w:spacing w:val="-3"/>
        </w:rPr>
        <w:t xml:space="preserve"> </w:t>
      </w:r>
      <w:r>
        <w:t>penjaminan</w:t>
      </w:r>
      <w:r>
        <w:rPr>
          <w:spacing w:val="-4"/>
        </w:rPr>
        <w:t xml:space="preserve"> </w:t>
      </w:r>
      <w:r>
        <w:t>mutu</w:t>
      </w:r>
      <w:r>
        <w:rPr>
          <w:spacing w:val="-4"/>
        </w:rPr>
        <w:t xml:space="preserve"> </w:t>
      </w:r>
      <w:r>
        <w:t>di PPS</w:t>
      </w:r>
      <w:r>
        <w:rPr>
          <w:spacing w:val="-3"/>
        </w:rPr>
        <w:t xml:space="preserve"> </w:t>
      </w:r>
      <w:r>
        <w:t>Universitas</w:t>
      </w:r>
      <w:r>
        <w:rPr>
          <w:spacing w:val="-3"/>
        </w:rPr>
        <w:t xml:space="preserve"> </w:t>
      </w:r>
      <w:r>
        <w:t>PGRI</w:t>
      </w:r>
      <w:r>
        <w:rPr>
          <w:spacing w:val="-2"/>
        </w:rPr>
        <w:t xml:space="preserve"> </w:t>
      </w:r>
      <w:r>
        <w:t>Palembang meliputi: 1) Monitoring kinerja dosen yang dilakukan setiap semester. Jika dosen dengan kinerja yang tidak memenuhi, mereka akan diberikan surat peringatan untuk melakukan perbaikan, 2) Monitoring pembelajaran yang dilaksanakan setiap semester dengan melibatkan responden mahasiswa untuk menilai kinerja dosen, 3) Monitoring penelitian dan pengabdian kepada masyarakat oleh dosen yang dilaksanakan setiap semester, 4) Monitoring kepuasan terhadap sarana dan prasarana bagi dosen, mahasiswa, dan tenaga kependidikan yang dilakukan setiap tahun sekali, 5) Monitoring pemahaman terhadap visi dan misi PPS UPGRIP.</w:t>
      </w:r>
    </w:p>
    <w:p w:rsidR="006224A8" w:rsidRDefault="006224A8" w:rsidP="006224A8">
      <w:pPr>
        <w:pStyle w:val="BodyText"/>
        <w:spacing w:before="4"/>
        <w:ind w:left="1020" w:right="343" w:firstLine="292"/>
        <w:jc w:val="both"/>
      </w:pPr>
      <w:r>
        <w:t>PPS UPGRIP menerapkan formulir standar penjaminan mutu internal dengan menyusun SK penetapan mahasiswa baru, formulir pengajuan judul dan pembimbingan tesis, formulir pengajuan seminar, formulir penilaian, daftar hadir, berita acara, dan undangan seminar. Dalam proses perkuliahan, dosen diwajibkan untuk menyusun kontrak perkuliahan, RPS, dan daftar hadir mahasiswa dengan ketentuan minimal 16 kali pertemuan. Untuk setiap UTS dan UAS,</w:t>
      </w:r>
      <w:r>
        <w:rPr>
          <w:spacing w:val="40"/>
        </w:rPr>
        <w:t xml:space="preserve"> </w:t>
      </w:r>
      <w:r>
        <w:t>dosen harus mengisi daftar hadir ujian serta berita acara yang telah disediakan oleh PPS.</w:t>
      </w:r>
    </w:p>
    <w:p w:rsidR="006224A8" w:rsidRDefault="006224A8" w:rsidP="006224A8">
      <w:pPr>
        <w:pStyle w:val="BodyText"/>
        <w:spacing w:before="2"/>
        <w:ind w:left="1020" w:right="341" w:firstLine="345"/>
        <w:jc w:val="both"/>
      </w:pPr>
      <w:r>
        <w:rPr>
          <w:b/>
        </w:rPr>
        <w:t xml:space="preserve">Evaluasi </w:t>
      </w:r>
      <w:r>
        <w:t>merupakan tindak lanjut dari monitoring kinerja dosen. Pada akhir semester, dosen akan dinilai kinerja yang mencakup pelaksanaan pendidikan, penelitian, dan pengabdian kepada masyarakat.</w:t>
      </w:r>
      <w:r>
        <w:rPr>
          <w:spacing w:val="-3"/>
        </w:rPr>
        <w:t xml:space="preserve"> </w:t>
      </w:r>
      <w:r>
        <w:t>Hasil dari evaluasi</w:t>
      </w:r>
      <w:r>
        <w:rPr>
          <w:spacing w:val="-2"/>
        </w:rPr>
        <w:t xml:space="preserve"> </w:t>
      </w:r>
      <w:r>
        <w:t>monitoring kinerja dosen dan</w:t>
      </w:r>
      <w:r>
        <w:rPr>
          <w:spacing w:val="-1"/>
        </w:rPr>
        <w:t xml:space="preserve"> </w:t>
      </w:r>
      <w:r>
        <w:t>tenaga kependidikan dipublikasikan melalui website PPS UPGRIP agar dapat diakses dengan mudah oleh para pemangku</w:t>
      </w:r>
      <w:r>
        <w:rPr>
          <w:spacing w:val="40"/>
        </w:rPr>
        <w:t xml:space="preserve"> </w:t>
      </w:r>
      <w:r>
        <w:t>kepentingan. Pengendalian terhadap pelaksanaan standar dalam SPMI adalah langkah lanjutan dari temuan-temuan</w:t>
      </w:r>
      <w:r>
        <w:rPr>
          <w:spacing w:val="-2"/>
        </w:rPr>
        <w:t xml:space="preserve"> </w:t>
      </w:r>
      <w:r>
        <w:t>hasil evaluasi. Jika</w:t>
      </w:r>
      <w:r>
        <w:rPr>
          <w:spacing w:val="-1"/>
        </w:rPr>
        <w:t xml:space="preserve"> </w:t>
      </w:r>
      <w:r>
        <w:t>temuan</w:t>
      </w:r>
      <w:r>
        <w:rPr>
          <w:spacing w:val="-2"/>
        </w:rPr>
        <w:t xml:space="preserve"> </w:t>
      </w:r>
      <w:r>
        <w:t>menunjukkan</w:t>
      </w:r>
      <w:r>
        <w:rPr>
          <w:spacing w:val="-2"/>
        </w:rPr>
        <w:t xml:space="preserve"> </w:t>
      </w:r>
      <w:r>
        <w:t>bahwa pelaksanaan</w:t>
      </w:r>
      <w:r>
        <w:rPr>
          <w:spacing w:val="-2"/>
        </w:rPr>
        <w:t xml:space="preserve"> </w:t>
      </w:r>
      <w:r>
        <w:t>sesuai dengan standar yang telah ditetapkan, maka langkah pengendalian yang diambil adalah menjaga agar pencapaian tersebut dapat dipertahankan. Sebaliknya, jika temuan menunjukkan</w:t>
      </w:r>
      <w:r>
        <w:rPr>
          <w:spacing w:val="40"/>
        </w:rPr>
        <w:t xml:space="preserve"> </w:t>
      </w:r>
      <w:r>
        <w:t xml:space="preserve">ketidaksesuaian dengan standar yang ditentukan, maka perlu dilakukan tindakan koreksi atau perbaikan agar standar tersebut dapat tercapai. Peningkatan adalah proses untuk memperbaiki dan memperbaharui isi standar dalam SPMI, yang dilakukan melalui rapat tinjauan manajemen berdasarkan hasil laporan evaluasi capaian standar. Bukti sah terkait pelaksanaan standar disajikan dalam bentuk surat tugas monitoring, lembar kerja monitoring, laporan hasil evaluasi, dan laporan Audit Mutu Internal (AMI), yang dapat diakses melalui link laporan AMI PPS UPGRIP </w:t>
      </w:r>
      <w:hyperlink r:id="rId5">
        <w:r>
          <w:rPr>
            <w:color w:val="0000FF"/>
            <w:spacing w:val="-2"/>
            <w:u w:val="single" w:color="0000FF"/>
          </w:rPr>
          <w:t>https://pps.univpgri-palembang.ac.id/</w:t>
        </w:r>
      </w:hyperlink>
    </w:p>
    <w:p w:rsidR="006224A8" w:rsidRDefault="006224A8" w:rsidP="006224A8">
      <w:pPr>
        <w:pStyle w:val="BodyText"/>
        <w:ind w:left="1020" w:right="339" w:firstLine="393"/>
        <w:jc w:val="both"/>
      </w:pPr>
      <w:r>
        <w:t>External Benchmarking PPS UPGRIP dalam pelaksanaan SPMI dilakukan dengan merujuk pada Badan Penjamin Mutu (BPM) Universitas Negeri Semarang melalui Program Asuh</w:t>
      </w:r>
      <w:r>
        <w:rPr>
          <w:spacing w:val="40"/>
        </w:rPr>
        <w:t xml:space="preserve"> </w:t>
      </w:r>
      <w:r>
        <w:t>Perguruan Tinggi Unggul sejak tahun 2018. Selain itu</w:t>
      </w:r>
      <w:r>
        <w:rPr>
          <w:spacing w:val="40"/>
        </w:rPr>
        <w:t xml:space="preserve"> </w:t>
      </w:r>
      <w:r>
        <w:t>Eksternal Benchmarking juga dengan</w:t>
      </w:r>
      <w:r>
        <w:rPr>
          <w:spacing w:val="40"/>
        </w:rPr>
        <w:t xml:space="preserve"> </w:t>
      </w:r>
      <w:r>
        <w:t>Satuan Penjaminan Mutu dan Reputasi Universitas (SPMRU) Universitas Gadjah Mada tahun</w:t>
      </w:r>
      <w:r>
        <w:rPr>
          <w:spacing w:val="40"/>
        </w:rPr>
        <w:t xml:space="preserve"> </w:t>
      </w:r>
      <w:r>
        <w:t>2024 dalam rangka penyusunan Standar PT. Berbagai kegiatan pendampingan lainnya, seperti Penyusunan JFA, pelatihan penulisan dan publikasi artikel ilmiah, workshop penyusunan</w:t>
      </w:r>
      <w:r>
        <w:rPr>
          <w:spacing w:val="80"/>
        </w:rPr>
        <w:t xml:space="preserve"> </w:t>
      </w:r>
      <w:r>
        <w:t xml:space="preserve">proposal penelitian hibah Kemendikbud, pelatihan tata naskah dan pengarsipan untuk tenaga kependidikan, pelatihan pengelolaan jurnal untuk pengelola jurnal, serta pelatihan administrasi dan pengelolaan website untuk pengelola program studi. Semua kegiatan dalam penjaminan mutu internal telah didokumentasikan dengan baik dan dapat diakses dengan mudah melalui website </w:t>
      </w:r>
      <w:hyperlink r:id="rId6">
        <w:r>
          <w:rPr>
            <w:color w:val="0000FF"/>
            <w:u w:val="single" w:color="0000FF"/>
          </w:rPr>
          <w:t>https://pps.univpgri-palembang.ac.id/</w:t>
        </w:r>
      </w:hyperlink>
    </w:p>
    <w:p w:rsidR="006224A8" w:rsidRDefault="006224A8"/>
    <w:sectPr w:rsidR="00622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4A8"/>
    <w:rsid w:val="006224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CFEC"/>
  <w15:chartTrackingRefBased/>
  <w15:docId w15:val="{A2D5282D-92A8-46EF-B1C1-8EA11BD5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24A8"/>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224A8"/>
  </w:style>
  <w:style w:type="character" w:customStyle="1" w:styleId="BodyTextChar">
    <w:name w:val="Body Text Char"/>
    <w:basedOn w:val="DefaultParagraphFont"/>
    <w:link w:val="BodyText"/>
    <w:uiPriority w:val="1"/>
    <w:rsid w:val="006224A8"/>
    <w:rPr>
      <w:rFonts w:ascii="Calibri" w:eastAsia="Calibri" w:hAnsi="Calibri" w:cs="Calibri"/>
      <w:lang w:val="id"/>
    </w:rPr>
  </w:style>
  <w:style w:type="paragraph" w:styleId="ListParagraph">
    <w:name w:val="List Paragraph"/>
    <w:basedOn w:val="Normal"/>
    <w:uiPriority w:val="1"/>
    <w:qFormat/>
    <w:rsid w:val="006224A8"/>
    <w:pPr>
      <w:ind w:left="10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ps.univpgri-palembang.ac.id/" TargetMode="External"/><Relationship Id="rId5" Type="http://schemas.openxmlformats.org/officeDocument/2006/relationships/hyperlink" Target="https://pps.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2026-06-08T05:20:00Z</dcterms:created>
  <dcterms:modified xsi:type="dcterms:W3CDTF">2026-06-08T05:22:00Z</dcterms:modified>
</cp:coreProperties>
</file>