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tbl>
      <w:tblPr>
        <w:tblStyle w:val="3"/>
        <w:tblW w:w="4055" w:type="pct"/>
        <w:jc w:val="center"/>
        <w:tblLayout w:type="fixed"/>
        <w:tblCellMar>
          <w:top w:w="0" w:type="dxa"/>
          <w:left w:w="10" w:type="dxa"/>
          <w:bottom w:w="0" w:type="dxa"/>
          <w:right w:w="10" w:type="dxa"/>
        </w:tblCellMar>
      </w:tblPr>
      <w:tblGrid>
        <w:gridCol w:w="2822"/>
        <w:gridCol w:w="257"/>
        <w:gridCol w:w="4256"/>
      </w:tblGrid>
      <w:tr>
        <w:tblPrEx>
          <w:tblCellMar>
            <w:top w:w="0" w:type="dxa"/>
            <w:left w:w="10" w:type="dxa"/>
            <w:bottom w:w="0" w:type="dxa"/>
            <w:right w:w="10" w:type="dxa"/>
          </w:tblCellMar>
        </w:tblPrEx>
        <w:trPr>
          <w:jc w:val="center"/>
        </w:trPr>
        <w:tc>
          <w:tcPr>
            <w:tcW w:w="2822" w:type="dxa"/>
          </w:tcPr>
          <w:p>
            <w:pPr>
              <w:jc w:val="left"/>
            </w:pPr>
            <w:r>
              <w:pict>
                <v:shape id="_x0000_i1025" o:spt="75" type="#_x0000_t75" style="height:140pt;width:140pt;" filled="f" coordsize="21600,21600">
                  <v:path/>
                  <v:fill on="f" focussize="0,0"/>
                  <v:stroke/>
                  <v:imagedata r:id="rId5" o:title=""/>
                  <o:lock v:ext="edit" aspectratio="t"/>
                  <w10:wrap type="none"/>
                  <w10:anchorlock/>
                </v:shape>
              </w:pict>
            </w:r>
          </w:p>
        </w:tc>
        <w:tc>
          <w:tcPr>
            <w:tcW w:w="257" w:type="dxa"/>
          </w:tcPr>
          <w:p/>
        </w:tc>
        <w:tc>
          <w:tcPr>
            <w:tcW w:w="4257" w:type="dxa"/>
          </w:tcPr>
          <w:p>
            <w:r>
              <w:rPr>
                <w:rFonts w:ascii="Arial" w:hAnsi="Arial" w:eastAsia="Arial" w:cs="Arial"/>
                <w:b/>
                <w:bCs/>
                <w:sz w:val="50"/>
                <w:szCs w:val="50"/>
              </w:rPr>
              <w:br w:type="textWrapping"/>
            </w:r>
            <w:r>
              <w:rPr>
                <w:rFonts w:ascii="Arial" w:hAnsi="Arial" w:eastAsia="Arial" w:cs="Arial"/>
                <w:b/>
                <w:bCs/>
                <w:sz w:val="50"/>
                <w:szCs w:val="50"/>
              </w:rPr>
              <w:t xml:space="preserve">LAPORAN </w:t>
            </w:r>
            <w:r>
              <w:rPr>
                <w:rFonts w:ascii="Arial" w:hAnsi="Arial" w:eastAsia="Arial" w:cs="Arial"/>
                <w:b/>
                <w:bCs/>
                <w:sz w:val="50"/>
                <w:szCs w:val="50"/>
              </w:rPr>
              <w:br w:type="textWrapping"/>
            </w:r>
            <w:r>
              <w:rPr>
                <w:rFonts w:ascii="Arial" w:hAnsi="Arial" w:eastAsia="Arial" w:cs="Arial"/>
                <w:b/>
                <w:bCs/>
                <w:sz w:val="50"/>
                <w:szCs w:val="50"/>
              </w:rPr>
              <w:t>AUDIT MUTU AKADEMIK INTERNAL (AMAI)</w:t>
            </w:r>
          </w:p>
        </w:tc>
      </w:tr>
      <w:tr>
        <w:tblPrEx>
          <w:tblCellMar>
            <w:top w:w="0" w:type="dxa"/>
            <w:left w:w="10" w:type="dxa"/>
            <w:bottom w:w="0" w:type="dxa"/>
            <w:right w:w="10" w:type="dxa"/>
          </w:tblCellMar>
        </w:tblPrEx>
        <w:trPr>
          <w:jc w:val="center"/>
        </w:trPr>
        <w:tc>
          <w:tcPr>
            <w:tcW w:w="2822" w:type="dxa"/>
          </w:tcPr>
          <w:p>
            <w:r>
              <w:rPr>
                <w:rFonts w:ascii="Arial" w:hAnsi="Arial" w:eastAsia="Arial" w:cs="Arial"/>
                <w:sz w:val="30"/>
                <w:szCs w:val="30"/>
              </w:rPr>
              <w:t>Fakultas / Prodi</w:t>
            </w:r>
          </w:p>
        </w:tc>
        <w:tc>
          <w:tcPr>
            <w:tcW w:w="257" w:type="dxa"/>
          </w:tcPr>
          <w:p>
            <w:r>
              <w:rPr>
                <w:rFonts w:ascii="Arial" w:hAnsi="Arial" w:eastAsia="Arial" w:cs="Arial"/>
                <w:sz w:val="30"/>
                <w:szCs w:val="30"/>
              </w:rPr>
              <w:t xml:space="preserve">: </w:t>
            </w:r>
          </w:p>
        </w:tc>
        <w:tc>
          <w:tcPr>
            <w:tcW w:w="4257" w:type="dxa"/>
          </w:tcPr>
          <w:p>
            <w:r>
              <w:rPr>
                <w:rFonts w:ascii="Arial" w:hAnsi="Arial" w:eastAsia="Arial" w:cs="Arial"/>
                <w:sz w:val="30"/>
                <w:szCs w:val="30"/>
              </w:rPr>
              <w:t>Fakultas Ekonomi dan Bisnis / Program Studi Manajemen S-1</w:t>
            </w:r>
          </w:p>
        </w:tc>
      </w:tr>
      <w:tr>
        <w:tblPrEx>
          <w:tblCellMar>
            <w:top w:w="0" w:type="dxa"/>
            <w:left w:w="10" w:type="dxa"/>
            <w:bottom w:w="0" w:type="dxa"/>
            <w:right w:w="10" w:type="dxa"/>
          </w:tblCellMar>
        </w:tblPrEx>
        <w:trPr>
          <w:jc w:val="center"/>
        </w:trPr>
        <w:tc>
          <w:tcPr>
            <w:tcW w:w="2822" w:type="dxa"/>
          </w:tcPr>
          <w:p/>
        </w:tc>
        <w:tc>
          <w:tcPr>
            <w:tcW w:w="257" w:type="dxa"/>
          </w:tcPr>
          <w:p/>
        </w:tc>
        <w:tc>
          <w:tcPr>
            <w:tcW w:w="4257" w:type="dxa"/>
          </w:tcPr>
          <w:p/>
        </w:tc>
      </w:tr>
      <w:tr>
        <w:tblPrEx>
          <w:tblCellMar>
            <w:top w:w="0" w:type="dxa"/>
            <w:left w:w="10" w:type="dxa"/>
            <w:bottom w:w="0" w:type="dxa"/>
            <w:right w:w="10" w:type="dxa"/>
          </w:tblCellMar>
        </w:tblPrEx>
        <w:trPr>
          <w:jc w:val="center"/>
        </w:trPr>
        <w:tc>
          <w:tcPr>
            <w:tcW w:w="2822" w:type="dxa"/>
          </w:tcPr>
          <w:p>
            <w:r>
              <w:rPr>
                <w:rFonts w:ascii="Arial" w:hAnsi="Arial" w:eastAsia="Arial" w:cs="Arial"/>
                <w:sz w:val="30"/>
                <w:szCs w:val="30"/>
              </w:rPr>
              <w:t>Auditee</w:t>
            </w:r>
          </w:p>
        </w:tc>
        <w:tc>
          <w:tcPr>
            <w:tcW w:w="257" w:type="dxa"/>
          </w:tcPr>
          <w:p>
            <w:r>
              <w:rPr>
                <w:rFonts w:ascii="Arial" w:hAnsi="Arial" w:eastAsia="Arial" w:cs="Arial"/>
                <w:sz w:val="30"/>
                <w:szCs w:val="30"/>
              </w:rPr>
              <w:t xml:space="preserve">: </w:t>
            </w:r>
          </w:p>
        </w:tc>
        <w:tc>
          <w:tcPr>
            <w:tcW w:w="4257" w:type="dxa"/>
          </w:tcPr>
          <w:p>
            <w:r>
              <w:rPr>
                <w:rFonts w:ascii="Arial" w:hAnsi="Arial" w:eastAsia="Arial" w:cs="Arial"/>
                <w:sz w:val="30"/>
                <w:szCs w:val="30"/>
              </w:rPr>
              <w:t>Nurkardina Novalia</w:t>
            </w:r>
          </w:p>
        </w:tc>
      </w:tr>
      <w:tr>
        <w:tblPrEx>
          <w:tblCellMar>
            <w:top w:w="0" w:type="dxa"/>
            <w:left w:w="10" w:type="dxa"/>
            <w:bottom w:w="0" w:type="dxa"/>
            <w:right w:w="10" w:type="dxa"/>
          </w:tblCellMar>
        </w:tblPrEx>
        <w:trPr>
          <w:jc w:val="center"/>
        </w:trPr>
        <w:tc>
          <w:tcPr>
            <w:tcW w:w="2822" w:type="dxa"/>
          </w:tcPr>
          <w:p>
            <w:r>
              <w:rPr>
                <w:rFonts w:ascii="Arial" w:hAnsi="Arial" w:eastAsia="Arial" w:cs="Arial"/>
                <w:sz w:val="30"/>
                <w:szCs w:val="30"/>
              </w:rPr>
              <w:t xml:space="preserve">Ketua Tim Auditor      </w:t>
            </w:r>
          </w:p>
        </w:tc>
        <w:tc>
          <w:tcPr>
            <w:tcW w:w="257" w:type="dxa"/>
          </w:tcPr>
          <w:p>
            <w:r>
              <w:rPr>
                <w:rFonts w:ascii="Arial" w:hAnsi="Arial" w:eastAsia="Arial" w:cs="Arial"/>
                <w:sz w:val="30"/>
                <w:szCs w:val="30"/>
              </w:rPr>
              <w:t xml:space="preserve">: </w:t>
            </w:r>
          </w:p>
        </w:tc>
        <w:tc>
          <w:tcPr>
            <w:tcW w:w="4257" w:type="dxa"/>
          </w:tcPr>
          <w:p>
            <w:r>
              <w:rPr>
                <w:rFonts w:ascii="Arial" w:hAnsi="Arial" w:eastAsia="Arial" w:cs="Arial"/>
                <w:sz w:val="30"/>
                <w:szCs w:val="30"/>
              </w:rPr>
              <w:t>Oktariansyah, S.E., M.M
</w:t>
            </w:r>
          </w:p>
        </w:tc>
      </w:tr>
      <w:tr>
        <w:tblPrEx>
          <w:tblCellMar>
            <w:top w:w="0" w:type="dxa"/>
            <w:left w:w="10" w:type="dxa"/>
            <w:bottom w:w="0" w:type="dxa"/>
            <w:right w:w="10" w:type="dxa"/>
          </w:tblCellMar>
        </w:tblPrEx>
        <w:trPr>
          <w:jc w:val="center"/>
        </w:trPr>
        <w:tc>
          <w:tcPr>
            <w:tcW w:w="2822" w:type="dxa"/>
          </w:tcPr>
          <w:p>
            <w:r>
              <w:rPr>
                <w:rFonts w:ascii="Arial" w:hAnsi="Arial" w:eastAsia="Arial" w:cs="Arial"/>
                <w:sz w:val="30"/>
                <w:szCs w:val="30"/>
              </w:rPr>
              <w:t>Anggota</w:t>
            </w:r>
          </w:p>
        </w:tc>
        <w:tc>
          <w:tcPr>
            <w:tcW w:w="257" w:type="dxa"/>
          </w:tcPr>
          <w:p>
            <w:r>
              <w:rPr>
                <w:rFonts w:ascii="Arial" w:hAnsi="Arial" w:eastAsia="Arial" w:cs="Arial"/>
                <w:sz w:val="30"/>
                <w:szCs w:val="30"/>
              </w:rPr>
              <w:t xml:space="preserve">: </w:t>
            </w:r>
          </w:p>
        </w:tc>
        <w:tc>
          <w:tcPr>
            <w:tcW w:w="4257" w:type="dxa"/>
          </w:tcPr>
          <w:p>
            <w:r>
              <w:rPr>
                <w:rFonts w:ascii="Arial" w:hAnsi="Arial" w:eastAsia="Arial" w:cs="Arial"/>
                <w:sz w:val="30"/>
                <w:szCs w:val="30"/>
              </w:rPr>
              <w:t>Dr. Rismansyah, S.E., M.Si</w:t>
            </w:r>
          </w:p>
        </w:tc>
      </w:tr>
      <w:tr>
        <w:tblPrEx>
          <w:tblCellMar>
            <w:top w:w="0" w:type="dxa"/>
            <w:left w:w="10" w:type="dxa"/>
            <w:bottom w:w="0" w:type="dxa"/>
            <w:right w:w="10" w:type="dxa"/>
          </w:tblCellMar>
        </w:tblPrEx>
        <w:trPr>
          <w:jc w:val="center"/>
        </w:trPr>
        <w:tc>
          <w:tcPr>
            <w:tcW w:w="2822" w:type="dxa"/>
          </w:tcPr>
          <w:p>
            <w:r>
              <w:rPr>
                <w:rFonts w:ascii="Arial" w:hAnsi="Arial" w:eastAsia="Arial" w:cs="Arial"/>
                <w:sz w:val="30"/>
                <w:szCs w:val="30"/>
              </w:rPr>
              <w:t xml:space="preserve">Tahun      </w:t>
            </w:r>
          </w:p>
        </w:tc>
        <w:tc>
          <w:tcPr>
            <w:tcW w:w="257" w:type="dxa"/>
          </w:tcPr>
          <w:p>
            <w:r>
              <w:rPr>
                <w:rFonts w:ascii="Arial" w:hAnsi="Arial" w:eastAsia="Arial" w:cs="Arial"/>
                <w:sz w:val="30"/>
                <w:szCs w:val="30"/>
              </w:rPr>
              <w:t xml:space="preserve">: </w:t>
            </w:r>
          </w:p>
        </w:tc>
        <w:tc>
          <w:tcPr>
            <w:tcW w:w="4257" w:type="dxa"/>
          </w:tcPr>
          <w:p>
            <w:r>
              <w:rPr>
                <w:rFonts w:ascii="Arial" w:hAnsi="Arial" w:eastAsia="Arial" w:cs="Arial"/>
                <w:sz w:val="30"/>
                <w:szCs w:val="30"/>
              </w:rPr>
              <w:t xml:space="preserve">2022-2023  </w:t>
            </w:r>
          </w:p>
        </w:tc>
      </w:tr>
      <w:tr>
        <w:tblPrEx>
          <w:tblCellMar>
            <w:top w:w="0" w:type="dxa"/>
            <w:left w:w="10" w:type="dxa"/>
            <w:bottom w:w="0" w:type="dxa"/>
            <w:right w:w="10" w:type="dxa"/>
          </w:tblCellMar>
        </w:tblPrEx>
        <w:trPr>
          <w:jc w:val="center"/>
        </w:trPr>
        <w:tc>
          <w:tcPr>
            <w:tcW w:w="2822" w:type="dxa"/>
          </w:tcPr>
          <w:p/>
        </w:tc>
        <w:tc>
          <w:tcPr>
            <w:tcW w:w="257" w:type="dxa"/>
          </w:tcPr>
          <w:p/>
        </w:tc>
        <w:tc>
          <w:tcPr>
            <w:tcW w:w="4257" w:type="dxa"/>
          </w:tcPr>
          <w:p/>
        </w:tc>
      </w:tr>
      <w:tr>
        <w:tblPrEx>
          <w:tblCellMar>
            <w:top w:w="0" w:type="dxa"/>
            <w:left w:w="10" w:type="dxa"/>
            <w:bottom w:w="0" w:type="dxa"/>
            <w:right w:w="10" w:type="dxa"/>
          </w:tblCellMar>
        </w:tblPrEx>
        <w:trPr>
          <w:jc w:val="center"/>
        </w:trPr>
        <w:tc>
          <w:tcPr>
            <w:tcW w:w="2822" w:type="dxa"/>
          </w:tcPr>
          <w:p/>
        </w:tc>
        <w:tc>
          <w:tcPr>
            <w:tcW w:w="257" w:type="dxa"/>
          </w:tcPr>
          <w:p/>
        </w:tc>
        <w:tc>
          <w:tcPr>
            <w:tcW w:w="4257" w:type="dxa"/>
          </w:tcPr>
          <w:p/>
        </w:tc>
      </w:tr>
      <w:tr>
        <w:tblPrEx>
          <w:tblCellMar>
            <w:top w:w="0" w:type="dxa"/>
            <w:left w:w="10" w:type="dxa"/>
            <w:bottom w:w="0" w:type="dxa"/>
            <w:right w:w="10" w:type="dxa"/>
          </w:tblCellMar>
        </w:tblPrEx>
        <w:trPr>
          <w:jc w:val="center"/>
        </w:trPr>
        <w:tc>
          <w:tcPr>
            <w:tcW w:w="2822" w:type="dxa"/>
          </w:tcPr>
          <w:p/>
        </w:tc>
        <w:tc>
          <w:tcPr>
            <w:tcW w:w="257" w:type="dxa"/>
          </w:tcPr>
          <w:p/>
        </w:tc>
        <w:tc>
          <w:tcPr>
            <w:tcW w:w="4257" w:type="dxa"/>
          </w:tcPr>
          <w:p/>
        </w:tc>
      </w:tr>
      <w:tr>
        <w:tblPrEx>
          <w:tblCellMar>
            <w:top w:w="0" w:type="dxa"/>
            <w:left w:w="10" w:type="dxa"/>
            <w:bottom w:w="0" w:type="dxa"/>
            <w:right w:w="10" w:type="dxa"/>
          </w:tblCellMar>
        </w:tblPrEx>
        <w:trPr>
          <w:jc w:val="center"/>
        </w:trPr>
        <w:tc>
          <w:tcPr>
            <w:tcW w:w="2822" w:type="dxa"/>
          </w:tcPr>
          <w:p/>
        </w:tc>
        <w:tc>
          <w:tcPr>
            <w:tcW w:w="257" w:type="dxa"/>
          </w:tcPr>
          <w:p/>
        </w:tc>
        <w:tc>
          <w:tcPr>
            <w:tcW w:w="4257" w:type="dxa"/>
          </w:tcPr>
          <w:p/>
        </w:tc>
      </w:tr>
    </w:tbl>
    <w:p/>
    <w:p/>
    <w:p/>
    <w:p/>
    <w:p>
      <w:pPr>
        <w:jc w:val="center"/>
      </w:pPr>
      <w:r>
        <w:rPr>
          <w:rFonts w:ascii="Arial" w:hAnsi="Arial" w:eastAsia="Arial" w:cs="Arial"/>
          <w:b/>
          <w:bCs/>
          <w:sz w:val="28"/>
          <w:szCs w:val="28"/>
        </w:rPr>
        <w:t>BADAN PENJAMINAN MUTU</w:t>
      </w:r>
    </w:p>
    <w:p>
      <w:pPr>
        <w:jc w:val="center"/>
      </w:pPr>
      <w:r>
        <w:rPr>
          <w:rFonts w:ascii="Arial" w:hAnsi="Arial" w:eastAsia="Arial" w:cs="Arial"/>
          <w:b/>
          <w:bCs/>
          <w:sz w:val="28"/>
          <w:szCs w:val="28"/>
        </w:rPr>
        <w:t>UNIVERSITAS PGRI PALEMBANG</w:t>
      </w:r>
    </w:p>
    <w:p>
      <w:r>
        <w:br w:type="page"/>
      </w:r>
    </w:p>
    <w:p>
      <w:pPr>
        <w:jc w:val="center"/>
      </w:pPr>
      <w:bookmarkStart w:id="0" w:name="_GoBack"/>
      <w:r>
        <w:rPr>
          <w:rFonts w:ascii="Arial" w:hAnsi="Arial" w:eastAsia="Arial" w:cs="Arial"/>
          <w:b w:val="0"/>
          <w:bCs w:val="0"/>
          <w:sz w:val="28"/>
          <w:szCs w:val="28"/>
        </w:rPr>
        <w:drawing>
          <wp:anchor distT="0" distB="0" distL="114300" distR="114300" simplePos="0" relativeHeight="251659264" behindDoc="0" locked="0" layoutInCell="1" allowOverlap="1">
            <wp:simplePos x="0" y="0"/>
            <wp:positionH relativeFrom="column">
              <wp:posOffset>-899160</wp:posOffset>
            </wp:positionH>
            <wp:positionV relativeFrom="paragraph">
              <wp:posOffset>-961390</wp:posOffset>
            </wp:positionV>
            <wp:extent cx="7549515" cy="10754360"/>
            <wp:effectExtent l="0" t="0" r="13335" b="8890"/>
            <wp:wrapNone/>
            <wp:docPr id="1" name="Picture 1" descr="img0076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0076_page-0001"/>
                    <pic:cNvPicPr>
                      <a:picLocks noChangeAspect="1"/>
                    </pic:cNvPicPr>
                  </pic:nvPicPr>
                  <pic:blipFill>
                    <a:blip r:embed="rId6"/>
                    <a:stretch>
                      <a:fillRect/>
                    </a:stretch>
                  </pic:blipFill>
                  <pic:spPr>
                    <a:xfrm>
                      <a:off x="0" y="0"/>
                      <a:ext cx="7549515" cy="10754360"/>
                    </a:xfrm>
                    <a:prstGeom prst="rect">
                      <a:avLst/>
                    </a:prstGeom>
                  </pic:spPr>
                </pic:pic>
              </a:graphicData>
            </a:graphic>
          </wp:anchor>
        </w:drawing>
      </w:r>
      <w:bookmarkEnd w:id="0"/>
      <w:r>
        <w:rPr>
          <w:rFonts w:ascii="Arial" w:hAnsi="Arial" w:eastAsia="Arial" w:cs="Arial"/>
          <w:b w:val="0"/>
          <w:bCs w:val="0"/>
          <w:sz w:val="28"/>
          <w:szCs w:val="28"/>
        </w:rPr>
        <w:t>LAPORAN AUDIT INTERNAL</w:t>
      </w:r>
    </w:p>
    <w:p>
      <w:pPr>
        <w:jc w:val="center"/>
      </w:pPr>
      <w:r>
        <w:rPr>
          <w:rFonts w:ascii="Arial" w:hAnsi="Arial" w:eastAsia="Arial" w:cs="Arial"/>
          <w:b w:val="0"/>
          <w:bCs w:val="0"/>
          <w:sz w:val="28"/>
          <w:szCs w:val="28"/>
        </w:rPr>
        <w:t>PROGRAM STUDI MANAJEMEN S-1</w:t>
      </w:r>
    </w:p>
    <w:p/>
    <w:p/>
    <w:p>
      <w:r>
        <w:rPr>
          <w:rFonts w:ascii="Arial" w:hAnsi="Arial" w:eastAsia="Arial" w:cs="Arial"/>
          <w:b/>
          <w:bCs/>
          <w:sz w:val="28"/>
          <w:szCs w:val="28"/>
        </w:rPr>
        <w:t>I.   PENDAHULUAN</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3" w:type="dxa"/>
          <w:left w:w="3" w:type="dxa"/>
          <w:bottom w:w="3" w:type="dxa"/>
          <w:right w:w="3" w:type="dxa"/>
        </w:tblCellMar>
      </w:tblPr>
      <w:tblGrid>
        <w:gridCol w:w="2311"/>
        <w:gridCol w:w="2019"/>
        <w:gridCol w:w="2000"/>
        <w:gridCol w:w="20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Nama Pimp Fakultas</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Edduar Hendri, SE,MM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Nama Ka Prodi </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Dr. Nurkardina Novalia, SE,MM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Tanggal Audit </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19 Desember 2023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Auditee </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Nurkardina Novalia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Ketua Auditor </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Oktariansyah, S.E., M.M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gridAfter w:val="1"/>
          <w:wAfter w:w="2019" w:type="dxa"/>
          <w:jc w:val="center"/>
        </w:trPr>
        <w:tc>
          <w:p>
            <w:r>
              <w:rPr>
                <w:rFonts w:ascii="Arial" w:hAnsi="Arial" w:eastAsia="Arial" w:cs="Arial"/>
                <w:sz w:val="24"/>
                <w:szCs w:val="24"/>
              </w:rPr>
              <w:br w:type="textWrapping"/>
            </w:r>
            <w:r>
              <w:rPr>
                <w:rFonts w:ascii="Arial" w:hAnsi="Arial" w:eastAsia="Arial" w:cs="Arial"/>
                <w:sz w:val="24"/>
                <w:szCs w:val="24"/>
              </w:rPr>
              <w:t xml:space="preserve"> Anggota Auditor </w:t>
            </w:r>
          </w:p>
        </w:tc>
        <w:tc>
          <w:tcPr>
            <w:tcW w:w="4000" w:type="dxa"/>
            <w:gridSpan w:val="2"/>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 Dr. Rismansyah, S.E., M.Si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Ex>
        <w:trPr>
          <w:jc w:val="center"/>
        </w:trPr>
        <w:tc>
          <w:tcPr>
            <w:vMerge w:val="continue"/>
          </w:tcPr>
          <w:p>
            <w:pPr>
              <w:jc w:val="left"/>
            </w:pPr>
            <w:r>
              <w:rPr>
                <w:rFonts w:ascii="Arial" w:hAnsi="Arial" w:eastAsia="Arial" w:cs="Arial"/>
                <w:sz w:val="24"/>
                <w:szCs w:val="24"/>
              </w:rPr>
              <w:br w:type="textWrapping"/>
            </w:r>
            <w:r>
              <w:rPr>
                <w:rFonts w:ascii="Arial" w:hAnsi="Arial" w:eastAsia="Arial" w:cs="Arial"/>
                <w:sz w:val="24"/>
                <w:szCs w:val="24"/>
              </w:rPr>
              <w:t xml:space="preserve"> Tanda Tangan </w:t>
            </w:r>
            <w:r>
              <w:rPr>
                <w:rFonts w:ascii="Arial" w:hAnsi="Arial" w:eastAsia="Arial" w:cs="Arial"/>
                <w:sz w:val="24"/>
                <w:szCs w:val="24"/>
              </w:rPr>
              <w:br w:type="textWrapping"/>
            </w:r>
            <w:r>
              <w:rPr>
                <w:rFonts w:ascii="Arial" w:hAnsi="Arial" w:eastAsia="Arial" w:cs="Arial"/>
                <w:sz w:val="24"/>
                <w:szCs w:val="24"/>
              </w:rPr>
              <w:t xml:space="preserve"> Ketua Auditor </w:t>
            </w:r>
          </w:p>
        </w:tc>
        <w:tc>
          <w:tcPr>
            <w:tcW w:w="2000" w:type="dxa"/>
            <w:vAlign w:val="center"/>
          </w:tcPr>
          <w:p>
            <w:pPr>
              <w:jc w:val="left"/>
            </w:pPr>
            <w:r>
              <w:rPr>
                <w:rFonts w:ascii="Arial" w:hAnsi="Arial" w:eastAsia="Arial" w:cs="Arial"/>
                <w:sz w:val="24"/>
                <w:szCs w:val="24"/>
              </w:rPr>
              <w:br w:type="textWrapping"/>
            </w:r>
            <w:r>
              <w:rPr>
                <w:rFonts w:ascii="Arial" w:hAnsi="Arial" w:eastAsia="Arial" w:cs="Arial"/>
                <w:sz w:val="24"/>
                <w:szCs w:val="24"/>
              </w:rPr>
              <w:br w:type="textWrapping"/>
            </w:r>
            <w:r>
              <w:rPr>
                <w:rFonts w:ascii="Arial" w:hAnsi="Arial" w:eastAsia="Arial" w:cs="Arial"/>
                <w:sz w:val="24"/>
                <w:szCs w:val="24"/>
              </w:rPr>
              <w:br w:type="textWrapping"/>
            </w:r>
            <w:r>
              <w:rPr>
                <w:rFonts w:ascii="Arial" w:hAnsi="Arial" w:eastAsia="Arial" w:cs="Arial"/>
                <w:sz w:val="24"/>
                <w:szCs w:val="24"/>
              </w:rPr>
              <w:t xml:space="preserve"> _______________</w:t>
            </w:r>
          </w:p>
        </w:tc>
        <w:tc>
          <w:tcPr>
            <w:tcW w:w="2000" w:type="dxa"/>
            <w:vAlign w:val="center"/>
          </w:tcPr>
          <w:p>
            <w:pPr>
              <w:jc w:val="left"/>
            </w:pPr>
            <w:r>
              <w:rPr>
                <w:rFonts w:ascii="Arial" w:hAnsi="Arial" w:eastAsia="Arial" w:cs="Arial"/>
                <w:sz w:val="24"/>
                <w:szCs w:val="24"/>
              </w:rPr>
              <w:br w:type="textWrapping"/>
            </w:r>
            <w:r>
              <w:rPr>
                <w:rFonts w:ascii="Arial" w:hAnsi="Arial" w:eastAsia="Arial" w:cs="Arial"/>
                <w:sz w:val="24"/>
                <w:szCs w:val="24"/>
              </w:rPr>
              <w:t xml:space="preserve"> Tanda Tangan </w:t>
            </w:r>
            <w:r>
              <w:rPr>
                <w:rFonts w:ascii="Arial" w:hAnsi="Arial" w:eastAsia="Arial" w:cs="Arial"/>
                <w:sz w:val="24"/>
                <w:szCs w:val="24"/>
              </w:rPr>
              <w:br w:type="textWrapping"/>
            </w:r>
            <w:r>
              <w:rPr>
                <w:rFonts w:ascii="Arial" w:hAnsi="Arial" w:eastAsia="Arial" w:cs="Arial"/>
                <w:sz w:val="24"/>
                <w:szCs w:val="24"/>
              </w:rPr>
              <w:t xml:space="preserve"> Pimp. Unit </w:t>
            </w:r>
          </w:p>
        </w:tc>
        <w:tc>
          <w:tcPr>
            <w:tcW w:w="2000" w:type="dxa"/>
            <w:vAlign w:val="center"/>
          </w:tcPr>
          <w:p>
            <w:pPr>
              <w:jc w:val="left"/>
            </w:pPr>
            <w:r>
              <w:rPr>
                <w:rFonts w:ascii="Arial" w:hAnsi="Arial" w:eastAsia="Arial" w:cs="Arial"/>
                <w:sz w:val="24"/>
                <w:szCs w:val="24"/>
              </w:rPr>
              <w:br w:type="textWrapping"/>
            </w:r>
            <w:r>
              <w:rPr>
                <w:rFonts w:ascii="Arial" w:hAnsi="Arial" w:eastAsia="Arial" w:cs="Arial"/>
                <w:sz w:val="24"/>
                <w:szCs w:val="24"/>
              </w:rPr>
              <w:br w:type="textWrapping"/>
            </w:r>
            <w:r>
              <w:rPr>
                <w:rFonts w:ascii="Arial" w:hAnsi="Arial" w:eastAsia="Arial" w:cs="Arial"/>
                <w:sz w:val="24"/>
                <w:szCs w:val="24"/>
              </w:rPr>
              <w:br w:type="textWrapping"/>
            </w:r>
            <w:r>
              <w:rPr>
                <w:rFonts w:ascii="Arial" w:hAnsi="Arial" w:eastAsia="Arial" w:cs="Arial"/>
                <w:sz w:val="24"/>
                <w:szCs w:val="24"/>
              </w:rPr>
              <w:t xml:space="preserve"> _______________</w:t>
            </w:r>
          </w:p>
        </w:tc>
      </w:tr>
    </w:tbl>
    <w:p/>
    <w:p>
      <w:r>
        <w:rPr>
          <w:rFonts w:ascii="Arial" w:hAnsi="Arial" w:eastAsia="Arial" w:cs="Arial"/>
          <w:b/>
          <w:bCs/>
          <w:sz w:val="28"/>
          <w:szCs w:val="28"/>
        </w:rPr>
        <w:t>II.   TUJUAN AUDIT</w:t>
      </w:r>
    </w:p>
    <w:p>
      <w:pPr>
        <w:numPr>
          <w:ilvl w:val="1"/>
          <w:numId w:val="1"/>
        </w:numPr>
      </w:pPr>
      <w:r>
        <w:rPr>
          <w:rStyle w:val="7"/>
        </w:rPr>
        <w:t xml:space="preserve">Memastikan apakah temuan/ rencana tindakan koreksi pada siklus audit tahun sebelumnya telah ditindaklanjuti.  </w:t>
      </w:r>
    </w:p>
    <w:p>
      <w:pPr>
        <w:numPr>
          <w:ilvl w:val="1"/>
          <w:numId w:val="1"/>
        </w:numPr>
      </w:pPr>
      <w:r>
        <w:rPr>
          <w:rStyle w:val="7"/>
        </w:rPr>
        <w:t>Mengukur tingkat kepatuhan dan capaian standar SPMI.</w:t>
      </w:r>
    </w:p>
    <w:p>
      <w:pPr>
        <w:numPr>
          <w:ilvl w:val="1"/>
          <w:numId w:val="1"/>
        </w:numPr>
      </w:pPr>
      <w:r>
        <w:rPr>
          <w:rStyle w:val="7"/>
        </w:rPr>
        <w:t>Memastikan kesesuaian arah dan pelaksanaan penjaminan mutu Fakultas/ Prodi terhadap dokumen akademik Perguruan Tinggi, dokumen akademik fakultas dan dokumen mutu fakultas dan prodi</w:t>
      </w:r>
    </w:p>
    <w:p>
      <w:pPr>
        <w:numPr>
          <w:ilvl w:val="1"/>
          <w:numId w:val="1"/>
        </w:numPr>
      </w:pPr>
      <w:r>
        <w:rPr>
          <w:rStyle w:val="7"/>
        </w:rPr>
        <w:t>Memastikan kelancaran pelaksanaan pengelolaan Fakultas/ Prodi.</w:t>
      </w:r>
    </w:p>
    <w:p>
      <w:pPr>
        <w:numPr>
          <w:ilvl w:val="1"/>
          <w:numId w:val="1"/>
        </w:numPr>
      </w:pPr>
      <w:r>
        <w:rPr>
          <w:rStyle w:val="7"/>
        </w:rPr>
        <w:t>Memastikan peluang peningkatan mutu Fakultas/ Prodi.</w:t>
      </w:r>
    </w:p>
    <w:p>
      <w:r>
        <w:br w:type="page"/>
      </w:r>
    </w:p>
    <w:p>
      <w:r>
        <w:rPr>
          <w:rFonts w:ascii="Arial" w:hAnsi="Arial" w:eastAsia="Arial" w:cs="Arial"/>
          <w:b/>
          <w:bCs/>
          <w:sz w:val="28"/>
          <w:szCs w:val="28"/>
        </w:rPr>
        <w:t>III.   LINGKUP AUDIT</w:t>
      </w:r>
    </w:p>
    <w:p>
      <w:r>
        <w:rPr>
          <w:rStyle w:val="7"/>
        </w:rPr>
        <w:t>Kriteria/ Standar Mutu yang terdiri dari</w:t>
      </w:r>
    </w:p>
    <w:p>
      <w:pPr>
        <w:numPr>
          <w:ilvl w:val="1"/>
          <w:numId w:val="2"/>
        </w:numPr>
      </w:pPr>
      <w:r>
        <w:rPr>
          <w:rStyle w:val="7"/>
        </w:rPr>
        <w:t>Visi, Misi, Tujuan, dan Strategi.</w:t>
      </w:r>
    </w:p>
    <w:p>
      <w:pPr>
        <w:numPr>
          <w:ilvl w:val="1"/>
          <w:numId w:val="2"/>
        </w:numPr>
      </w:pPr>
      <w:r>
        <w:rPr>
          <w:rStyle w:val="7"/>
        </w:rPr>
        <w:t>Tata pamong, Tata Kelola dan Kerjasama.</w:t>
      </w:r>
    </w:p>
    <w:p>
      <w:pPr>
        <w:numPr>
          <w:ilvl w:val="1"/>
          <w:numId w:val="2"/>
        </w:numPr>
      </w:pPr>
      <w:r>
        <w:rPr>
          <w:rStyle w:val="7"/>
        </w:rPr>
        <w:t>Mahasiswa.</w:t>
      </w:r>
    </w:p>
    <w:p>
      <w:pPr>
        <w:numPr>
          <w:ilvl w:val="1"/>
          <w:numId w:val="2"/>
        </w:numPr>
      </w:pPr>
      <w:r>
        <w:rPr>
          <w:rStyle w:val="7"/>
        </w:rPr>
        <w:t>Sumber Daya Manusia.</w:t>
      </w:r>
    </w:p>
    <w:p>
      <w:pPr>
        <w:numPr>
          <w:ilvl w:val="1"/>
          <w:numId w:val="2"/>
        </w:numPr>
      </w:pPr>
      <w:r>
        <w:rPr>
          <w:rStyle w:val="7"/>
        </w:rPr>
        <w:t xml:space="preserve">Keuangan, Sarana dan Prasarana. </w:t>
      </w:r>
    </w:p>
    <w:p>
      <w:pPr>
        <w:numPr>
          <w:ilvl w:val="1"/>
          <w:numId w:val="2"/>
        </w:numPr>
      </w:pPr>
      <w:r>
        <w:rPr>
          <w:rStyle w:val="7"/>
        </w:rPr>
        <w:t>Pendidikan.</w:t>
      </w:r>
    </w:p>
    <w:p>
      <w:pPr>
        <w:numPr>
          <w:ilvl w:val="1"/>
          <w:numId w:val="2"/>
        </w:numPr>
      </w:pPr>
      <w:r>
        <w:rPr>
          <w:rStyle w:val="7"/>
        </w:rPr>
        <w:t>Penelitian.</w:t>
      </w:r>
    </w:p>
    <w:p>
      <w:pPr>
        <w:numPr>
          <w:ilvl w:val="1"/>
          <w:numId w:val="2"/>
        </w:numPr>
      </w:pPr>
      <w:r>
        <w:rPr>
          <w:rStyle w:val="7"/>
        </w:rPr>
        <w:t>Pengabdian kepada Masyarakat.</w:t>
      </w:r>
    </w:p>
    <w:p>
      <w:pPr>
        <w:numPr>
          <w:ilvl w:val="1"/>
          <w:numId w:val="2"/>
        </w:numPr>
      </w:pPr>
      <w:r>
        <w:rPr>
          <w:rStyle w:val="7"/>
        </w:rPr>
        <w:t>Luaran dan Capaian Tridharma.</w:t>
      </w:r>
    </w:p>
    <w:p>
      <w:pPr>
        <w:numPr>
          <w:ilvl w:val="0"/>
          <w:numId w:val="2"/>
        </w:numPr>
      </w:pPr>
    </w:p>
    <w:p>
      <w:r>
        <w:rPr>
          <w:rStyle w:val="7"/>
        </w:rPr>
        <w:t>Meliputi butir-butir/ elemen mutu setiap kriteria mutu yang terdiri dari:</w:t>
      </w:r>
    </w:p>
    <w:p>
      <w:pPr>
        <w:numPr>
          <w:ilvl w:val="1"/>
          <w:numId w:val="2"/>
        </w:numPr>
      </w:pPr>
      <w:r>
        <w:rPr>
          <w:rStyle w:val="7"/>
        </w:rPr>
        <w:t>Latar Belakang.</w:t>
      </w:r>
    </w:p>
    <w:p>
      <w:pPr>
        <w:numPr>
          <w:ilvl w:val="1"/>
          <w:numId w:val="2"/>
        </w:numPr>
      </w:pPr>
      <w:r>
        <w:rPr>
          <w:rStyle w:val="7"/>
        </w:rPr>
        <w:t>Kebijakan .</w:t>
      </w:r>
    </w:p>
    <w:p>
      <w:pPr>
        <w:numPr>
          <w:ilvl w:val="1"/>
          <w:numId w:val="2"/>
        </w:numPr>
      </w:pPr>
      <w:r>
        <w:rPr>
          <w:rStyle w:val="7"/>
        </w:rPr>
        <w:t>Strategi Pencapaian Standar.</w:t>
      </w:r>
    </w:p>
    <w:p>
      <w:pPr>
        <w:numPr>
          <w:ilvl w:val="1"/>
          <w:numId w:val="2"/>
        </w:numPr>
      </w:pPr>
      <w:r>
        <w:rPr>
          <w:rStyle w:val="7"/>
        </w:rPr>
        <w:t>Indikator Kinerja Utama.</w:t>
      </w:r>
    </w:p>
    <w:p>
      <w:pPr>
        <w:numPr>
          <w:ilvl w:val="1"/>
          <w:numId w:val="2"/>
        </w:numPr>
      </w:pPr>
      <w:r>
        <w:rPr>
          <w:rStyle w:val="7"/>
        </w:rPr>
        <w:t>Indikator Kinerja Tambahan.</w:t>
      </w:r>
    </w:p>
    <w:p>
      <w:pPr>
        <w:numPr>
          <w:ilvl w:val="1"/>
          <w:numId w:val="2"/>
        </w:numPr>
      </w:pPr>
      <w:r>
        <w:rPr>
          <w:rStyle w:val="7"/>
        </w:rPr>
        <w:t>Evaluasi Pencapaian Kinerja.</w:t>
      </w:r>
    </w:p>
    <w:p>
      <w:pPr>
        <w:numPr>
          <w:ilvl w:val="1"/>
          <w:numId w:val="2"/>
        </w:numPr>
      </w:pPr>
      <w:r>
        <w:rPr>
          <w:rStyle w:val="7"/>
        </w:rPr>
        <w:t>Penjaminan Mutu.</w:t>
      </w:r>
    </w:p>
    <w:p>
      <w:pPr>
        <w:numPr>
          <w:ilvl w:val="1"/>
          <w:numId w:val="2"/>
        </w:numPr>
      </w:pPr>
      <w:r>
        <w:rPr>
          <w:rStyle w:val="7"/>
        </w:rPr>
        <w:t>Kepuasan Pengguna.</w:t>
      </w:r>
    </w:p>
    <w:p>
      <w:pPr>
        <w:numPr>
          <w:ilvl w:val="1"/>
          <w:numId w:val="2"/>
        </w:numPr>
      </w:pPr>
      <w:r>
        <w:rPr>
          <w:rStyle w:val="7"/>
        </w:rPr>
        <w:t>Simpulan Hasil Evaluasi dan Tindaklanjutnya.</w:t>
      </w:r>
    </w:p>
    <w:p>
      <w:r>
        <w:br w:type="page"/>
      </w:r>
    </w:p>
    <w:p>
      <w:r>
        <w:rPr>
          <w:rFonts w:ascii="Arial" w:hAnsi="Arial" w:eastAsia="Arial" w:cs="Arial"/>
          <w:b/>
          <w:bCs/>
          <w:sz w:val="28"/>
          <w:szCs w:val="28"/>
        </w:rPr>
        <w:t>IV.   JADWAL AUDIT</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1825"/>
        <w:gridCol w:w="1851"/>
        <w:gridCol w:w="550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2000" w:type="dxa"/>
            <w:vAlign w:val="center"/>
          </w:tcPr>
          <w:p>
            <w:r>
              <w:rPr>
                <w:rFonts w:ascii="Arial" w:hAnsi="Arial" w:eastAsia="Arial" w:cs="Arial"/>
                <w:b/>
                <w:bCs/>
                <w:sz w:val="24"/>
                <w:szCs w:val="24"/>
              </w:rPr>
              <w:t>No.</w:t>
            </w:r>
          </w:p>
        </w:tc>
        <w:tc>
          <w:tcPr>
            <w:tcW w:w="2000" w:type="dxa"/>
            <w:vAlign w:val="center"/>
          </w:tcPr>
          <w:p>
            <w:r>
              <w:rPr>
                <w:rFonts w:ascii="Arial" w:hAnsi="Arial" w:eastAsia="Arial" w:cs="Arial"/>
                <w:b/>
                <w:bCs/>
                <w:sz w:val="24"/>
                <w:szCs w:val="24"/>
              </w:rPr>
              <w:t>Jam</w:t>
            </w:r>
          </w:p>
        </w:tc>
        <w:tc>
          <w:tcPr>
            <w:tcW w:w="5700" w:type="dxa"/>
            <w:vAlign w:val="center"/>
          </w:tcPr>
          <w:p>
            <w:r>
              <w:rPr>
                <w:rFonts w:ascii="Arial" w:hAnsi="Arial" w:eastAsia="Arial" w:cs="Arial"/>
                <w:b/>
                <w:bCs/>
                <w:sz w:val="24"/>
                <w:szCs w:val="24"/>
              </w:rPr>
              <w:t>Kegiatan Audit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100" w:type="dxa"/>
          </w:tcPr>
          <w:p>
            <w:r>
              <w:rPr>
                <w:rFonts w:ascii="Arial" w:hAnsi="Arial" w:eastAsia="Arial" w:cs="Arial"/>
                <w:b w:val="0"/>
                <w:bCs w:val="0"/>
                <w:sz w:val="24"/>
                <w:szCs w:val="24"/>
              </w:rPr>
              <w:t>1</w:t>
            </w:r>
          </w:p>
        </w:tc>
        <w:tc>
          <w:tcPr>
            <w:tcW w:w="100" w:type="dxa"/>
          </w:tcPr>
          <w:p>
            <w:r>
              <w:rPr>
                <w:rFonts w:ascii="Arial" w:hAnsi="Arial" w:eastAsia="Arial" w:cs="Arial"/>
                <w:b w:val="0"/>
                <w:bCs w:val="0"/>
                <w:sz w:val="24"/>
                <w:szCs w:val="24"/>
              </w:rPr>
              <w:t>08.00</w:t>
            </w:r>
          </w:p>
        </w:tc>
        <w:tc>
          <w:tcPr>
            <w:tcW w:w="6100" w:type="dxa"/>
          </w:tcPr>
          <w:p>
            <w:r>
              <w:rPr>
                <w:rFonts w:ascii="Arial" w:hAnsi="Arial" w:eastAsia="Arial" w:cs="Arial"/>
                <w:b w:val="0"/>
                <w:bCs w:val="0"/>
                <w:sz w:val="24"/>
                <w:szCs w:val="24"/>
              </w:rPr>
              <w:t>audit</w:t>
            </w:r>
          </w:p>
        </w:tc>
      </w:tr>
    </w:tbl>
    <w:p/>
    <w:p/>
    <w:p>
      <w:r>
        <w:rPr>
          <w:rFonts w:ascii="Arial" w:hAnsi="Arial" w:eastAsia="Arial" w:cs="Arial"/>
          <w:b/>
          <w:bCs/>
          <w:sz w:val="28"/>
          <w:szCs w:val="28"/>
        </w:rPr>
        <w:t>V.   INDEKS KINERJA UNIT</w:t>
      </w:r>
    </w:p>
    <w:p/>
    <w:p>
      <w:r>
        <w:rPr>
          <w:rFonts w:ascii="Arial" w:hAnsi="Arial" w:eastAsia="Arial" w:cs="Arial"/>
          <w:b/>
          <w:bCs/>
          <w:i/>
          <w:iCs/>
          <w:sz w:val="24"/>
          <w:szCs w:val="24"/>
        </w:rPr>
        <w:t>Fakultas Ekonomi dan Bisnis / Program Studi Manajemen S-1</w:t>
      </w:r>
    </w:p>
    <w:p>
      <w:pPr>
        <w:rPr>
          <w:rFonts w:ascii="Arial" w:hAnsi="Arial" w:eastAsia="Arial" w:cs="Arial"/>
          <w:b w:val="0"/>
          <w:bCs w:val="0"/>
          <w:sz w:val="24"/>
          <w:szCs w:val="24"/>
        </w:rPr>
      </w:pPr>
      <w:r>
        <w:rPr>
          <w:rFonts w:ascii="Arial" w:hAnsi="Arial" w:eastAsia="Arial" w:cs="Arial"/>
          <w:b w:val="0"/>
          <w:bCs w:val="0"/>
          <w:sz w:val="24"/>
          <w:szCs w:val="24"/>
        </w:rPr>
        <w:t xml:space="preserve">Audit kinerja Akademik yang dilakukan pada periode tahun akademik 2022-2023 , berdasarkan instrumen daftar periksa visitasi diperoleh hasil berupa skor indeks kinerja sebesar 272.97. </w:t>
      </w:r>
    </w:p>
    <w:p>
      <w:pPr>
        <w:rPr>
          <w:rFonts w:ascii="Arial" w:hAnsi="Arial" w:eastAsia="Arial" w:cs="Arial"/>
          <w:b w:val="0"/>
          <w:bCs w:val="0"/>
          <w:sz w:val="24"/>
          <w:szCs w:val="24"/>
        </w:rPr>
      </w:pPr>
    </w:p>
    <w:p>
      <w:r>
        <w:rPr>
          <w:rFonts w:ascii="Arial" w:hAnsi="Arial" w:eastAsia="Arial" w:cs="Arial"/>
          <w:b/>
          <w:bCs/>
          <w:sz w:val="28"/>
          <w:szCs w:val="28"/>
        </w:rPr>
        <w:t>VI.   TEMUAN AUDIT</w:t>
      </w:r>
    </w:p>
    <w:p>
      <w:pPr>
        <w:numPr>
          <w:ilvl w:val="1"/>
          <w:numId w:val="3"/>
        </w:numPr>
      </w:pPr>
      <w:r>
        <w:rPr>
          <w:rStyle w:val="7"/>
        </w:rPr>
        <w:t>Ketidaksesuaian</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4223"/>
        <w:gridCol w:w="1677"/>
        <w:gridCol w:w="1642"/>
        <w:gridCol w:w="164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5700" w:type="dxa"/>
            <w:vAlign w:val="center"/>
          </w:tcPr>
          <w:p>
            <w:r>
              <w:rPr>
                <w:rFonts w:ascii="Arial" w:hAnsi="Arial" w:eastAsia="Arial" w:cs="Arial"/>
                <w:b/>
                <w:bCs/>
                <w:sz w:val="24"/>
                <w:szCs w:val="24"/>
              </w:rPr>
              <w:t>Kategori</w:t>
            </w:r>
          </w:p>
        </w:tc>
        <w:tc>
          <w:tcPr>
            <w:tcW w:w="2000" w:type="dxa"/>
            <w:vAlign w:val="center"/>
          </w:tcPr>
          <w:p>
            <w:r>
              <w:rPr>
                <w:rFonts w:ascii="Arial" w:hAnsi="Arial" w:eastAsia="Arial" w:cs="Arial"/>
                <w:b/>
                <w:bCs/>
                <w:sz w:val="24"/>
                <w:szCs w:val="24"/>
              </w:rPr>
              <w:t>Jumlah</w:t>
            </w:r>
          </w:p>
        </w:tc>
        <w:tc>
          <w:tcPr>
            <w:tcW w:w="2000" w:type="dxa"/>
            <w:vAlign w:val="center"/>
          </w:tcPr>
          <w:p>
            <w:r>
              <w:rPr>
                <w:rFonts w:ascii="Arial" w:hAnsi="Arial" w:eastAsia="Arial" w:cs="Arial"/>
                <w:b/>
                <w:bCs/>
                <w:sz w:val="24"/>
                <w:szCs w:val="24"/>
              </w:rPr>
              <w:t>Status Open</w:t>
            </w:r>
          </w:p>
        </w:tc>
        <w:tc>
          <w:tcPr>
            <w:tcW w:w="2000" w:type="dxa"/>
            <w:vAlign w:val="center"/>
          </w:tcPr>
          <w:p>
            <w:r>
              <w:rPr>
                <w:rFonts w:ascii="Arial" w:hAnsi="Arial" w:eastAsia="Arial" w:cs="Arial"/>
                <w:b/>
                <w:bCs/>
                <w:sz w:val="24"/>
                <w:szCs w:val="24"/>
              </w:rPr>
              <w:t>Status Close</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700" w:type="dxa"/>
          </w:tcPr>
          <w:p>
            <w:r>
              <w:rPr>
                <w:rFonts w:ascii="Arial" w:hAnsi="Arial" w:eastAsia="Arial" w:cs="Arial"/>
                <w:b w:val="0"/>
                <w:bCs w:val="0"/>
                <w:sz w:val="24"/>
                <w:szCs w:val="24"/>
              </w:rPr>
              <w:t>MAJOR</w:t>
            </w:r>
          </w:p>
        </w:tc>
        <w:tc>
          <w:tcPr>
            <w:tcW w:w="2000" w:type="dxa"/>
          </w:tcPr>
          <w:p>
            <w:r>
              <w:rPr>
                <w:rFonts w:ascii="Arial" w:hAnsi="Arial" w:eastAsia="Arial" w:cs="Arial"/>
                <w:b w:val="0"/>
                <w:bCs w:val="0"/>
                <w:sz w:val="24"/>
                <w:szCs w:val="24"/>
              </w:rPr>
              <w:t>0</w:t>
            </w:r>
          </w:p>
        </w:tc>
        <w:tc>
          <w:tcPr>
            <w:tcW w:w="2000" w:type="dxa"/>
          </w:tcPr>
          <w:p>
            <w:r>
              <w:rPr>
                <w:rFonts w:ascii="Arial" w:hAnsi="Arial" w:eastAsia="Arial" w:cs="Arial"/>
                <w:b w:val="0"/>
                <w:bCs w:val="0"/>
                <w:sz w:val="24"/>
                <w:szCs w:val="24"/>
              </w:rPr>
              <w:t>0</w:t>
            </w:r>
          </w:p>
        </w:tc>
        <w:tc>
          <w:tcPr>
            <w:tcW w:w="2000" w:type="dxa"/>
          </w:tcPr>
          <w:p>
            <w:r>
              <w:rPr>
                <w:rFonts w:ascii="Arial" w:hAnsi="Arial" w:eastAsia="Arial" w:cs="Arial"/>
                <w:b w:val="0"/>
                <w:bCs w:val="0"/>
                <w:sz w:val="24"/>
                <w:szCs w:val="24"/>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700" w:type="dxa"/>
          </w:tcPr>
          <w:p>
            <w:r>
              <w:rPr>
                <w:rFonts w:ascii="Arial" w:hAnsi="Arial" w:eastAsia="Arial" w:cs="Arial"/>
                <w:b w:val="0"/>
                <w:bCs w:val="0"/>
                <w:sz w:val="24"/>
                <w:szCs w:val="24"/>
              </w:rPr>
              <w:t>MINOR</w:t>
            </w:r>
          </w:p>
        </w:tc>
        <w:tc>
          <w:tcPr>
            <w:tcW w:w="2000" w:type="dxa"/>
          </w:tcPr>
          <w:p>
            <w:r>
              <w:rPr>
                <w:rFonts w:ascii="Arial" w:hAnsi="Arial" w:eastAsia="Arial" w:cs="Arial"/>
                <w:b w:val="0"/>
                <w:bCs w:val="0"/>
                <w:sz w:val="24"/>
                <w:szCs w:val="24"/>
              </w:rPr>
              <w:t>20</w:t>
            </w:r>
          </w:p>
        </w:tc>
        <w:tc>
          <w:tcPr>
            <w:tcW w:w="2000" w:type="dxa"/>
          </w:tcPr>
          <w:p>
            <w:r>
              <w:rPr>
                <w:rFonts w:ascii="Arial" w:hAnsi="Arial" w:eastAsia="Arial" w:cs="Arial"/>
                <w:b w:val="0"/>
                <w:bCs w:val="0"/>
                <w:sz w:val="24"/>
                <w:szCs w:val="24"/>
              </w:rPr>
              <w:t>20</w:t>
            </w:r>
          </w:p>
        </w:tc>
        <w:tc>
          <w:tcPr>
            <w:tcW w:w="2000" w:type="dxa"/>
          </w:tcPr>
          <w:p>
            <w:r>
              <w:rPr>
                <w:rFonts w:ascii="Arial" w:hAnsi="Arial" w:eastAsia="Arial" w:cs="Arial"/>
                <w:b w:val="0"/>
                <w:bCs w:val="0"/>
                <w:sz w:val="24"/>
                <w:szCs w:val="24"/>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700" w:type="dxa"/>
          </w:tcPr>
          <w:p>
            <w:r>
              <w:rPr>
                <w:rFonts w:ascii="Arial" w:hAnsi="Arial" w:eastAsia="Arial" w:cs="Arial"/>
                <w:b/>
                <w:bCs/>
                <w:i/>
                <w:iCs/>
                <w:sz w:val="24"/>
                <w:szCs w:val="24"/>
              </w:rPr>
              <w:t>Jumlah</w:t>
            </w:r>
          </w:p>
        </w:tc>
        <w:tc>
          <w:tcPr>
            <w:tcW w:w="2000" w:type="dxa"/>
          </w:tcPr>
          <w:p>
            <w:r>
              <w:rPr>
                <w:rFonts w:ascii="Arial" w:hAnsi="Arial" w:eastAsia="Arial" w:cs="Arial"/>
                <w:b/>
                <w:bCs/>
                <w:i/>
                <w:iCs/>
                <w:sz w:val="24"/>
                <w:szCs w:val="24"/>
              </w:rPr>
              <w:t>20</w:t>
            </w:r>
          </w:p>
        </w:tc>
        <w:tc>
          <w:tcPr>
            <w:tcW w:w="2000" w:type="dxa"/>
          </w:tcPr>
          <w:p>
            <w:r>
              <w:rPr>
                <w:rFonts w:ascii="Arial" w:hAnsi="Arial" w:eastAsia="Arial" w:cs="Arial"/>
                <w:b/>
                <w:bCs/>
                <w:i/>
                <w:iCs/>
                <w:sz w:val="24"/>
                <w:szCs w:val="24"/>
              </w:rPr>
              <w:t>20</w:t>
            </w:r>
          </w:p>
        </w:tc>
        <w:tc>
          <w:tcPr>
            <w:tcW w:w="2000" w:type="dxa"/>
          </w:tcPr>
          <w:p>
            <w:r>
              <w:rPr>
                <w:rFonts w:ascii="Arial" w:hAnsi="Arial" w:eastAsia="Arial" w:cs="Arial"/>
                <w:b/>
                <w:bCs/>
                <w:i/>
                <w:iCs/>
                <w:sz w:val="24"/>
                <w:szCs w:val="24"/>
              </w:rPr>
              <w:t>0</w:t>
            </w:r>
          </w:p>
        </w:tc>
      </w:tr>
    </w:tbl>
    <w:p/>
    <w:p>
      <w:pPr>
        <w:numPr>
          <w:ilvl w:val="1"/>
          <w:numId w:val="3"/>
        </w:numPr>
      </w:pPr>
      <w:r>
        <w:rPr>
          <w:rStyle w:val="7"/>
        </w:rPr>
        <w:t>Temuan Major</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498"/>
        <w:gridCol w:w="3320"/>
        <w:gridCol w:w="536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500" w:type="dxa"/>
            <w:vAlign w:val="center"/>
          </w:tcPr>
          <w:p>
            <w:r>
              <w:rPr>
                <w:rFonts w:ascii="Arial" w:hAnsi="Arial" w:eastAsia="Arial" w:cs="Arial"/>
                <w:b/>
                <w:bCs/>
                <w:sz w:val="24"/>
                <w:szCs w:val="24"/>
              </w:rPr>
              <w:t>No</w:t>
            </w:r>
          </w:p>
        </w:tc>
        <w:tc>
          <w:tcPr>
            <w:tcW w:w="3500" w:type="dxa"/>
            <w:vAlign w:val="center"/>
          </w:tcPr>
          <w:p>
            <w:r>
              <w:rPr>
                <w:rFonts w:ascii="Arial" w:hAnsi="Arial" w:eastAsia="Arial" w:cs="Arial"/>
                <w:b/>
                <w:bCs/>
                <w:sz w:val="24"/>
                <w:szCs w:val="24"/>
              </w:rPr>
              <w:t xml:space="preserve">Kriteria Mutu </w:t>
            </w:r>
          </w:p>
        </w:tc>
        <w:tc>
          <w:tcPr>
            <w:tcW w:w="5700" w:type="dxa"/>
            <w:vAlign w:val="center"/>
          </w:tcPr>
          <w:p>
            <w:r>
              <w:rPr>
                <w:rFonts w:ascii="Arial" w:hAnsi="Arial" w:eastAsia="Arial" w:cs="Arial"/>
                <w:b/>
                <w:bCs/>
                <w:sz w:val="24"/>
                <w:szCs w:val="24"/>
              </w:rPr>
              <w:t>Temuan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w:t>
            </w:r>
          </w:p>
        </w:tc>
        <w:tc>
          <w:tcPr>
            <w:tcW w:w="3500" w:type="dxa"/>
          </w:tcPr>
          <w:p>
            <w:r>
              <w:rPr>
                <w:rFonts w:ascii="Arial" w:hAnsi="Arial" w:eastAsia="Arial" w:cs="Arial"/>
                <w:b w:val="0"/>
                <w:bCs w:val="0"/>
                <w:sz w:val="24"/>
                <w:szCs w:val="24"/>
              </w:rPr>
              <w:t>-</w:t>
            </w:r>
          </w:p>
        </w:tc>
        <w:tc>
          <w:tcPr>
            <w:tcW w:w="5700" w:type="dxa"/>
          </w:tcPr>
          <w:p>
            <w:r>
              <w:rPr>
                <w:rFonts w:ascii="Arial" w:hAnsi="Arial" w:eastAsia="Arial" w:cs="Arial"/>
                <w:b w:val="0"/>
                <w:bCs w:val="0"/>
                <w:sz w:val="24"/>
                <w:szCs w:val="24"/>
              </w:rPr>
              <w:t>-</w:t>
            </w:r>
          </w:p>
        </w:tc>
      </w:tr>
    </w:tbl>
    <w:p/>
    <w:p>
      <w:pPr>
        <w:numPr>
          <w:ilvl w:val="1"/>
          <w:numId w:val="3"/>
        </w:numPr>
      </w:pPr>
      <w:r>
        <w:rPr>
          <w:rStyle w:val="7"/>
        </w:rPr>
        <w:t>Temuan Minor</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498"/>
        <w:gridCol w:w="3382"/>
        <w:gridCol w:w="530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500" w:type="dxa"/>
            <w:vAlign w:val="center"/>
          </w:tcPr>
          <w:p>
            <w:r>
              <w:rPr>
                <w:rFonts w:ascii="Arial" w:hAnsi="Arial" w:eastAsia="Arial" w:cs="Arial"/>
                <w:b/>
                <w:bCs/>
                <w:sz w:val="24"/>
                <w:szCs w:val="24"/>
              </w:rPr>
              <w:t>No</w:t>
            </w:r>
          </w:p>
        </w:tc>
        <w:tc>
          <w:tcPr>
            <w:tcW w:w="3500" w:type="dxa"/>
            <w:vAlign w:val="center"/>
          </w:tcPr>
          <w:p>
            <w:r>
              <w:rPr>
                <w:rFonts w:ascii="Arial" w:hAnsi="Arial" w:eastAsia="Arial" w:cs="Arial"/>
                <w:b/>
                <w:bCs/>
                <w:sz w:val="24"/>
                <w:szCs w:val="24"/>
              </w:rPr>
              <w:t xml:space="preserve">Kriteria Mutu </w:t>
            </w:r>
          </w:p>
        </w:tc>
        <w:tc>
          <w:tcPr>
            <w:tcW w:w="5700" w:type="dxa"/>
            <w:vAlign w:val="center"/>
          </w:tcPr>
          <w:p>
            <w:r>
              <w:rPr>
                <w:rFonts w:ascii="Arial" w:hAnsi="Arial" w:eastAsia="Arial" w:cs="Arial"/>
                <w:b/>
                <w:bCs/>
                <w:sz w:val="24"/>
                <w:szCs w:val="24"/>
              </w:rPr>
              <w:t>Temuan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w:t>
            </w:r>
          </w:p>
        </w:tc>
        <w:tc>
          <w:tcPr>
            <w:tcW w:w="3500" w:type="dxa"/>
          </w:tcPr>
          <w:p>
            <w:r>
              <w:rPr>
                <w:rFonts w:ascii="Arial" w:hAnsi="Arial" w:eastAsia="Arial" w:cs="Arial"/>
                <w:b w:val="0"/>
                <w:bCs w:val="0"/>
                <w:sz w:val="24"/>
                <w:szCs w:val="24"/>
              </w:rPr>
              <w:t>Unit Pengelola Program Studi menugaskan dosen tetap dan dosen tidak tetap dengan jumlah dan kualifikasi yang sesuai dengan visi, misi, tujuan dan strategi serta memenuhi aturan SN-Dikti.
 (Indikator 27)</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w:t>
            </w:r>
          </w:p>
        </w:tc>
        <w:tc>
          <w:tcPr>
            <w:tcW w:w="3500" w:type="dxa"/>
          </w:tcPr>
          <w:p>
            <w:r>
              <w:rPr>
                <w:rFonts w:ascii="Arial" w:hAnsi="Arial" w:eastAsia="Arial" w:cs="Arial"/>
                <w:b w:val="0"/>
                <w:bCs w:val="0"/>
                <w:sz w:val="24"/>
                <w:szCs w:val="24"/>
              </w:rPr>
              <w:t>Dosen secara kolektif dan individual mendeskripsikan keterlibatan akademik dan profesional secara signifikan dan memperkuat modal intelektual yang diperlukan untuk mendukung hasil berkualitas tinggi yang konsisten dengan visi, misi, tujuan dan strategi.
 (Indikator 28)</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w:t>
            </w:r>
          </w:p>
        </w:tc>
        <w:tc>
          <w:tcPr>
            <w:tcW w:w="3500" w:type="dxa"/>
          </w:tcPr>
          <w:p>
            <w:r>
              <w:rPr>
                <w:rFonts w:ascii="Arial" w:hAnsi="Arial" w:eastAsia="Arial" w:cs="Arial"/>
                <w:b w:val="0"/>
                <w:bCs w:val="0"/>
                <w:sz w:val="24"/>
                <w:szCs w:val="24"/>
              </w:rPr>
              <w:t>Unit Pengelola Program Studi mendeskripsikan proses yang terdokumentasi dan efektif untuk memfasilitasi human resouce planning, rencana dan implementasi pendidikan, pelatihan dan pengembangan dosen untuk meningkatkan kualifikasi dan kinerja dosen sesuai dengan visi dan misi serta arah perkembangan ekonomi dan bisnis baik di tingkat nasional maupun global.
 (Indikator 29)</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w:t>
            </w:r>
          </w:p>
        </w:tc>
        <w:tc>
          <w:tcPr>
            <w:tcW w:w="3500" w:type="dxa"/>
          </w:tcPr>
          <w:p>
            <w:r>
              <w:rPr>
                <w:rFonts w:ascii="Arial" w:hAnsi="Arial" w:eastAsia="Arial" w:cs="Arial"/>
                <w:b w:val="0"/>
                <w:bCs w:val="0"/>
                <w:sz w:val="24"/>
                <w:szCs w:val="24"/>
              </w:rPr>
              <w:t>Unit Pengelola Program studi mendeskripsikan mekanisme dan prosedur dalam pengembangan karir akademik, keikutsertaan sertifikasi profesional dosen dalam bidang EMBA dan sesuai dengan visi, misi, tujuan dan strategi.
 (Indikator 30)</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w:t>
            </w:r>
          </w:p>
        </w:tc>
        <w:tc>
          <w:tcPr>
            <w:tcW w:w="3500" w:type="dxa"/>
          </w:tcPr>
          <w:p>
            <w:r>
              <w:rPr>
                <w:rFonts w:ascii="Arial" w:hAnsi="Arial" w:eastAsia="Arial" w:cs="Arial"/>
                <w:b w:val="0"/>
                <w:bCs w:val="0"/>
                <w:sz w:val="24"/>
                <w:szCs w:val="24"/>
              </w:rPr>
              <w:t>Unit Pengelola Program Studi mendeskripsikan pengelolaan dosen secara sistematis yang memberikan tanggung jawab kepada setiap dosen untuk memenuhi visi dan misi program studi dan menetapkan harapan yang realistis untuk setiap dosen. 
 (Indikator 31)</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6</w:t>
            </w:r>
          </w:p>
        </w:tc>
        <w:tc>
          <w:tcPr>
            <w:tcW w:w="3500" w:type="dxa"/>
          </w:tcPr>
          <w:p>
            <w:r>
              <w:rPr>
                <w:rFonts w:ascii="Arial" w:hAnsi="Arial" w:eastAsia="Arial" w:cs="Arial"/>
                <w:b w:val="0"/>
                <w:bCs w:val="0"/>
                <w:sz w:val="24"/>
                <w:szCs w:val="24"/>
              </w:rPr>
              <w:t>Unit Pengelola Program Studi mendeskripsikan proses evaluasi, promosi dan penghargaan dosen yang dikomunikasikan kepada dosen dengan jelas dan sistematis untuk mendukung visi, misi, tujuan dan strategi.
 (Indikator 32)</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7</w:t>
            </w:r>
          </w:p>
        </w:tc>
        <w:tc>
          <w:tcPr>
            <w:tcW w:w="3500" w:type="dxa"/>
          </w:tcPr>
          <w:p>
            <w:r>
              <w:rPr>
                <w:rFonts w:ascii="Arial" w:hAnsi="Arial" w:eastAsia="Arial" w:cs="Arial"/>
                <w:b w:val="0"/>
                <w:bCs w:val="0"/>
                <w:sz w:val="24"/>
                <w:szCs w:val="24"/>
              </w:rPr>
              <w:t>Unit Pengelola Program studi mendeskripsikan jumlah tenaga kependidikan yang sesuai dengan visi, misi, tujuan dan strategi serta memenuhi aturan SN-Dikti serta kualifikasi dan sertifikasi tenaga kependidikan yang sesuai dengan kebutuhan layanan program studi dalam melaksanakan kegiatan akademik dan pengembangan program studi.
 (Indikator 33)</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8</w:t>
            </w:r>
          </w:p>
        </w:tc>
        <w:tc>
          <w:tcPr>
            <w:tcW w:w="3500" w:type="dxa"/>
          </w:tcPr>
          <w:p>
            <w:r>
              <w:rPr>
                <w:rFonts w:ascii="Arial" w:hAnsi="Arial" w:eastAsia="Arial" w:cs="Arial"/>
                <w:b w:val="0"/>
                <w:bCs w:val="0"/>
                <w:sz w:val="24"/>
                <w:szCs w:val="24"/>
              </w:rPr>
              <w:t>Unit Pengelola Program Studi mendeskripsikan  program pengembangan kompetensi tenaga kependidikan melalui pendidikan dan pelatihan, untuk meningkatkan kualifikasi dan kinerja mereka sesuai dengan visi, misi, tujuan dan strategi.
 (Indikator 34)</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9</w:t>
            </w:r>
          </w:p>
        </w:tc>
        <w:tc>
          <w:tcPr>
            <w:tcW w:w="3500" w:type="dxa"/>
          </w:tcPr>
          <w:p>
            <w:r>
              <w:rPr>
                <w:rFonts w:ascii="Arial" w:hAnsi="Arial" w:eastAsia="Arial" w:cs="Arial"/>
                <w:b w:val="0"/>
                <w:bCs w:val="0"/>
                <w:sz w:val="24"/>
                <w:szCs w:val="24"/>
              </w:rPr>
              <w:t>Unit Pengelola Program Studi mendeskripsikan mekanisme dan prosedur pengembangan karir akademik dan sertifikasi profesional bagi tenaga kependidikan sesuai dengan visi, misi, tujuan dan strategi.
 (Indikator 35)</w:t>
            </w:r>
          </w:p>
        </w:tc>
        <w:tc>
          <w:tcPr>
            <w:tcW w:w="5700" w:type="dxa"/>
          </w:tcPr>
          <w:p>
            <w:r>
              <w:rPr>
                <w:rFonts w:ascii="Arial" w:hAnsi="Arial" w:eastAsia="Arial" w:cs="Arial"/>
                <w:b w:val="0"/>
                <w:bCs w:val="0"/>
                <w:sz w:val="24"/>
                <w:szCs w:val="24"/>
              </w:rPr>
              <w:t>Sebagian dokumen wajib sudah diunggah, dan Deskripsi sudah baik, namun perlu ditambahkan dokumen :
1) Data profil dosen tidak tetap 
2) Dokumen people planning and development dosen dan tenaga kependidikan.
3) Dokumen tentang pengelolaan dosen dan tenaga kependidikan.
Dokumen Pendukung:
LKPS
SK DOSEN
SK JABATAN FUNGSIONAL</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10</w:t>
            </w:r>
          </w:p>
        </w:tc>
        <w:tc>
          <w:tcPr>
            <w:tcW w:w="3500" w:type="dxa"/>
          </w:tcPr>
          <w:p>
            <w:r>
              <w:rPr>
                <w:rFonts w:ascii="Arial" w:hAnsi="Arial" w:eastAsia="Arial" w:cs="Arial"/>
                <w:b w:val="0"/>
                <w:bCs w:val="0"/>
                <w:sz w:val="24"/>
                <w:szCs w:val="24"/>
              </w:rPr>
              <w:t>Kurikulum program studi mendeskripsikan materi pembelajaran yang mutakhir dan relevan dengan kebutuhan ekonomi dan bisnis masa depan, memiliki perspektif global, sesuai dengan visi, misi, tujuan, strategi dan capaian pembelajaran serta dievaluasi dan dikembangkan agar sesuai dan relevan dengan perkembangan ilmu pengetahuan, praktik dan tantangan-tantangan di masa yang akan datang dengan melibatkan pemangku kepentingan.   
 (Indikator 40)</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11</w:t>
            </w:r>
          </w:p>
        </w:tc>
        <w:tc>
          <w:tcPr>
            <w:tcW w:w="3500" w:type="dxa"/>
          </w:tcPr>
          <w:p>
            <w:r>
              <w:rPr>
                <w:rFonts w:ascii="Arial" w:hAnsi="Arial" w:eastAsia="Arial" w:cs="Arial"/>
                <w:b w:val="0"/>
                <w:bCs w:val="0"/>
                <w:sz w:val="24"/>
                <w:szCs w:val="24"/>
              </w:rPr>
              <w:t>Implementasi kurikulum menjamin akuisisi dan pengembangan kompetensi mahasiswa, memfasilitasi keterlibatan aktif mahasiswa dalam proses pembelajaran, dan interaksi produktif mahasiswa-mahasiswa dan mahasiswa-dosen untuk mencapai tujuan pembelajaran. 
 (Indikator 41)</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
Implementasi kurikulum menjamin akuisisi dan pengembangan kompetensi mahasiswa, memfasilitasi keterlibatan aktif mahasiswa dalam proses pembelajaran, dan interaksi produktif mahasiswa-mahasiswa dan mahasiswa-dosen untuk mencapai tujuan pembelajaran.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12</w:t>
            </w:r>
          </w:p>
        </w:tc>
        <w:tc>
          <w:tcPr>
            <w:tcW w:w="3500" w:type="dxa"/>
          </w:tcPr>
          <w:p>
            <w:r>
              <w:rPr>
                <w:rFonts w:ascii="Arial" w:hAnsi="Arial" w:eastAsia="Arial" w:cs="Arial"/>
                <w:b w:val="0"/>
                <w:bCs w:val="0"/>
                <w:sz w:val="24"/>
                <w:szCs w:val="24"/>
              </w:rPr>
              <w:t>Unit Pengelola Program Studi mendokumentasikan proses jaminan pembelajaran dengan baik yang sesuai dengan profil lulusan, kompetensi lulusan dan capaian pembelajaran yang telah ditetapkan serta selaras dengan visi, misi, tujuan dan strategi.
 (Indikator 42)</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13</w:t>
            </w:r>
          </w:p>
        </w:tc>
        <w:tc>
          <w:tcPr>
            <w:tcW w:w="3500" w:type="dxa"/>
          </w:tcPr>
          <w:p>
            <w:r>
              <w:rPr>
                <w:rFonts w:ascii="Arial" w:hAnsi="Arial" w:eastAsia="Arial" w:cs="Arial"/>
                <w:b w:val="0"/>
                <w:bCs w:val="0"/>
                <w:sz w:val="24"/>
                <w:szCs w:val="24"/>
              </w:rPr>
              <w:t>Unit Pengelola Program Studi menyusun peta kurikulum untuk menjamin struktur mata kuliah dan kegiatan pembelajaran konsisten dan relevan dengan capaian pembelajaran  dan profil lulusan yang diharapkan serta selaras dengan visi, misi, tujuan dan strategi. 
 (Indikator 43)</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14</w:t>
            </w:r>
          </w:p>
        </w:tc>
        <w:tc>
          <w:tcPr>
            <w:tcW w:w="3500" w:type="dxa"/>
          </w:tcPr>
          <w:p>
            <w:r>
              <w:rPr>
                <w:rFonts w:ascii="Arial" w:hAnsi="Arial" w:eastAsia="Arial" w:cs="Arial"/>
                <w:b w:val="0"/>
                <w:bCs w:val="0"/>
                <w:sz w:val="24"/>
                <w:szCs w:val="24"/>
              </w:rPr>
              <w:t>Unit Pengelola Program Studi mendeskripsikan pedoman standar pemenuhan capaian pembelajaran dan mengembangkan instrumen yang valid dan handal dengan metode yang relevan untuk mengukur capaian pembelajaran serta menetapkan intervensi untuk perbaikan kualitas pembelajaran berdasar tingkat pemenuhan capaian pembelajaran serta masukan dari para pemangku kepentingan.
 (Indikator 44)</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15</w:t>
            </w:r>
          </w:p>
        </w:tc>
        <w:tc>
          <w:tcPr>
            <w:tcW w:w="3500" w:type="dxa"/>
          </w:tcPr>
          <w:p>
            <w:r>
              <w:rPr>
                <w:rFonts w:ascii="Arial" w:hAnsi="Arial" w:eastAsia="Arial" w:cs="Arial"/>
                <w:b w:val="0"/>
                <w:bCs w:val="0"/>
                <w:sz w:val="24"/>
                <w:szCs w:val="24"/>
              </w:rPr>
              <w:t>Unit Pengelola Program Studi mendeskripsikan hasil evaluasi pengukuran capaian pembelajaran mahasiswa dan tindak lanjut yang ditetapkan agar kegiatan dan proses pembelajaran konsisten dan relevan dengan capaian pembelajaran dan profil lulusan yang diharapkan serta selaras dengan visi, misi, tujuan dan strategi. 
 (Indikator 45)</w:t>
            </w:r>
          </w:p>
        </w:tc>
        <w:tc>
          <w:tcPr>
            <w:tcW w:w="5700" w:type="dxa"/>
          </w:tcPr>
          <w:p>
            <w:r>
              <w:rPr>
                <w:rFonts w:ascii="Arial" w:hAnsi="Arial" w:eastAsia="Arial" w:cs="Arial"/>
                <w:b w:val="0"/>
                <w:bCs w:val="0"/>
                <w:sz w:val="24"/>
                <w:szCs w:val="24"/>
              </w:rPr>
              <w:t>Sebagian dokumen belum diunggah, deskripsinya sudah ada.
Dokumen Wajib yang belum diunggah: 
1. Dokumen terkait capaian pembelajaran.
2. Dokumen jaminan pembelajaran.
3. Dokumen hasil pengukuran capaian pembelajaran.
4. Dokumen tracer study dan survei pemangku kepentingan.
Dokumen Pendukung yang belum diunggah:
1. LEMBAR MONITORING
2. DAFTAR HADIR MAHASISWA
3. PENILAIAN DOSEN (SIAKA)/KHS
4. SEMUA DOKUMEN PROPOSAL DAN SKRIPSI MAHASISWA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16</w:t>
            </w:r>
          </w:p>
        </w:tc>
        <w:tc>
          <w:tcPr>
            <w:tcW w:w="3500" w:type="dxa"/>
          </w:tcPr>
          <w:p>
            <w:r>
              <w:rPr>
                <w:rFonts w:ascii="Arial" w:hAnsi="Arial" w:eastAsia="Arial" w:cs="Arial"/>
                <w:b w:val="0"/>
                <w:bCs w:val="0"/>
                <w:sz w:val="24"/>
                <w:szCs w:val="24"/>
              </w:rPr>
              <w:t>Unit Pengelola Program Studi mendeskripsikan pedoman pelaksanaan dan roadmap penelitian yang sesuai dengan visi dan misi serta isu-isu ekonomi dan bisnis yang berkembang baik di tingkat lokal, nasional maupun internasional. 
 (Indikator 46)</w:t>
            </w:r>
          </w:p>
        </w:tc>
        <w:tc>
          <w:tcPr>
            <w:tcW w:w="5700" w:type="dxa"/>
          </w:tcPr>
          <w:p>
            <w:r>
              <w:rPr>
                <w:rFonts w:ascii="Arial" w:hAnsi="Arial" w:eastAsia="Arial" w:cs="Arial"/>
                <w:b w:val="0"/>
                <w:bCs w:val="0"/>
                <w:sz w:val="24"/>
                <w:szCs w:val="24"/>
              </w:rPr>
              <w:t>Beberapa dokumen belum terpenuhi dan perlu diunggah.
Dokumen Wajib yang perlu diunggah
1) Dokumen sumber pendanaan penelitian.
2) Bukti hasil penelitian digunakan untuk mendukung
3) SK keterlibatan mahasiswa dalam penelitian.
Dokumen Pendukung:
RIP DAN RENSTRA LPPM,
MONITORING UNTUK PELAKSANAAN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17</w:t>
            </w:r>
          </w:p>
        </w:tc>
        <w:tc>
          <w:tcPr>
            <w:tcW w:w="3500" w:type="dxa"/>
          </w:tcPr>
          <w:p>
            <w:r>
              <w:rPr>
                <w:rFonts w:ascii="Arial" w:hAnsi="Arial" w:eastAsia="Arial" w:cs="Arial"/>
                <w:b w:val="0"/>
                <w:bCs w:val="0"/>
                <w:sz w:val="24"/>
                <w:szCs w:val="24"/>
              </w:rPr>
              <w:t>Unit Pengelola Program Studi dan program studi mendeskripsikan sumber pendanaan untuk mendorong dosen agar mengikuti penelitian sesuai dengan visi dan misi serta isu-isu ekonomi dan bisnis yang berkembang baik di tingkat lokal, nasional maupun internasional. 
 (Indikator 47)</w:t>
            </w:r>
          </w:p>
        </w:tc>
        <w:tc>
          <w:tcPr>
            <w:tcW w:w="5700" w:type="dxa"/>
          </w:tcPr>
          <w:p>
            <w:r>
              <w:rPr>
                <w:rFonts w:ascii="Arial" w:hAnsi="Arial" w:eastAsia="Arial" w:cs="Arial"/>
                <w:b w:val="0"/>
                <w:bCs w:val="0"/>
                <w:sz w:val="24"/>
                <w:szCs w:val="24"/>
              </w:rPr>
              <w:t>Beberapa dokumen belum terpenuhi dan perlu diunggah.
Dokumen Wajib yang perlu diunggah
1) Dokumen sumber pendanaan penelitian.
2) Bukti hasil penelitian digunakan untuk mendukung
3) SK keterlibatan mahasiswa dalam penelitian.
Dokumen Pendukung:
RIP DAN RENSTRA LPPM,
MONITORING UNTUK PELAKSANAAN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18</w:t>
            </w:r>
          </w:p>
        </w:tc>
        <w:tc>
          <w:tcPr>
            <w:tcW w:w="3500" w:type="dxa"/>
          </w:tcPr>
          <w:p>
            <w:r>
              <w:rPr>
                <w:rFonts w:ascii="Arial" w:hAnsi="Arial" w:eastAsia="Arial" w:cs="Arial"/>
                <w:b w:val="0"/>
                <w:bCs w:val="0"/>
                <w:sz w:val="24"/>
                <w:szCs w:val="24"/>
              </w:rPr>
              <w:t>Unit Pengelola Program Studi memiliki sumber pendanaan dan realisasi yang berasal dari internal, pemerintah, industri dan lembaga lain yang relevan dan mendukung visi, misi, tujuan dan strategi.
 (Indikator 48)</w:t>
            </w:r>
          </w:p>
        </w:tc>
        <w:tc>
          <w:tcPr>
            <w:tcW w:w="5700" w:type="dxa"/>
          </w:tcPr>
          <w:p>
            <w:r>
              <w:rPr>
                <w:rFonts w:ascii="Arial" w:hAnsi="Arial" w:eastAsia="Arial" w:cs="Arial"/>
                <w:b w:val="0"/>
                <w:bCs w:val="0"/>
                <w:sz w:val="24"/>
                <w:szCs w:val="24"/>
              </w:rPr>
              <w:t>Beberapa dokumen belum terpenuhi dan perlu diunggah.
Dokumen Wajib yang perlu diunggah
1) Dokumen sumber pendanaan penelitian.
2) Bukti hasil penelitian digunakan untuk mendukung
3) SK keterlibatan mahasiswa dalam penelitian.
Dokumen Pendukung:
RIP DAN RENSTRA LPPM,
MONITORING UNTUK PELAKSANAAN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19</w:t>
            </w:r>
          </w:p>
        </w:tc>
        <w:tc>
          <w:tcPr>
            <w:tcW w:w="3500" w:type="dxa"/>
          </w:tcPr>
          <w:p>
            <w:r>
              <w:rPr>
                <w:rFonts w:ascii="Arial" w:hAnsi="Arial" w:eastAsia="Arial" w:cs="Arial"/>
                <w:b w:val="0"/>
                <w:bCs w:val="0"/>
                <w:sz w:val="24"/>
                <w:szCs w:val="24"/>
              </w:rPr>
              <w:t>Unit Pengelola Program Studi mendeskripsikan penelitian dosen dan/atau dosen dengan mahasiswa yang sesuai dengan roadmap penelitian dan/atau bermitra dengan pihak eksternal pada tahun berjalan serta didesiminasikan dalam publikasi dan/atau pertemuan ilmiah tingkat lokal, nasional atau internasional dan mendukung visi, misi, tujuan dan strategi.
 (Indikator 49)</w:t>
            </w:r>
          </w:p>
        </w:tc>
        <w:tc>
          <w:tcPr>
            <w:tcW w:w="5700" w:type="dxa"/>
          </w:tcPr>
          <w:p>
            <w:r>
              <w:rPr>
                <w:rFonts w:ascii="Arial" w:hAnsi="Arial" w:eastAsia="Arial" w:cs="Arial"/>
                <w:b w:val="0"/>
                <w:bCs w:val="0"/>
                <w:sz w:val="24"/>
                <w:szCs w:val="24"/>
              </w:rPr>
              <w:t>Beberapa dokumen belum terpenuhi dan perlu diunggah.
Dokumen Wajib yang perlu diunggah
1) Dokumen sumber pendanaan penelitian.
2) Bukti hasil penelitian digunakan untuk mendukung
3) SK keterlibatan mahasiswa dalam penelitian.
Dokumen Pendukung:
RIP DAN RENSTRA LPPM,
MONITORING UNTUK PELAKSANAAN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20</w:t>
            </w:r>
          </w:p>
        </w:tc>
        <w:tc>
          <w:tcPr>
            <w:tcW w:w="3500" w:type="dxa"/>
          </w:tcPr>
          <w:p>
            <w:r>
              <w:rPr>
                <w:rFonts w:ascii="Arial" w:hAnsi="Arial" w:eastAsia="Arial" w:cs="Arial"/>
                <w:b w:val="0"/>
                <w:bCs w:val="0"/>
                <w:sz w:val="24"/>
                <w:szCs w:val="24"/>
              </w:rPr>
              <w:t>Unit Pengelola Program Studi dan program studi mendeskripsikan kontribusi hasil penelitian pada pengembangan pengajaran, ilmu pengetahuan dan praktik di bidang Ekonomi, Manajemen, Bisnis dan Akuntansi baik di tingkat lokal, nasional atau internasional dan mendukung visi, misi, tujuan dan strategi.
 (Indikator 50)</w:t>
            </w:r>
          </w:p>
        </w:tc>
        <w:tc>
          <w:tcPr>
            <w:tcW w:w="5700" w:type="dxa"/>
          </w:tcPr>
          <w:p>
            <w:r>
              <w:rPr>
                <w:rFonts w:ascii="Arial" w:hAnsi="Arial" w:eastAsia="Arial" w:cs="Arial"/>
                <w:b w:val="0"/>
                <w:bCs w:val="0"/>
                <w:sz w:val="24"/>
                <w:szCs w:val="24"/>
              </w:rPr>
              <w:t>Beberapa dokumen belum terpenuhi dan perlu diunggah.
Dokumen Wajib yang perlu diunggah
1) Dokumen sumber pendanaan penelitian.
2) Bukti hasil penelitian digunakan untuk mendukung
3) SK keterlibatan mahasiswa dalam penelitian.
Dokumen Pendukung:
RIP DAN RENSTRA LPPM,
MONITORING UNTUK PELAKSANAAN PENELITIAN DAN PkM
</w:t>
            </w:r>
          </w:p>
        </w:tc>
      </w:tr>
    </w:tbl>
    <w:p/>
    <w:p/>
    <w:p/>
    <w:p/>
    <w:p>
      <w:pPr>
        <w:numPr>
          <w:ilvl w:val="1"/>
          <w:numId w:val="3"/>
        </w:numPr>
      </w:pPr>
      <w:r>
        <w:rPr>
          <w:rStyle w:val="7"/>
        </w:rPr>
        <w:t>Saran perbaikan/ peluang perbaikan (OBSERVE)</w:t>
      </w:r>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498"/>
        <w:gridCol w:w="3416"/>
        <w:gridCol w:w="527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500" w:type="dxa"/>
            <w:vAlign w:val="center"/>
          </w:tcPr>
          <w:p>
            <w:r>
              <w:rPr>
                <w:rFonts w:ascii="Arial" w:hAnsi="Arial" w:eastAsia="Arial" w:cs="Arial"/>
                <w:b/>
                <w:bCs/>
                <w:sz w:val="24"/>
                <w:szCs w:val="24"/>
              </w:rPr>
              <w:t>No</w:t>
            </w:r>
          </w:p>
        </w:tc>
        <w:tc>
          <w:tcPr>
            <w:tcW w:w="3500" w:type="dxa"/>
            <w:vAlign w:val="center"/>
          </w:tcPr>
          <w:p>
            <w:r>
              <w:rPr>
                <w:rFonts w:ascii="Arial" w:hAnsi="Arial" w:eastAsia="Arial" w:cs="Arial"/>
                <w:b/>
                <w:bCs/>
                <w:sz w:val="24"/>
                <w:szCs w:val="24"/>
              </w:rPr>
              <w:t xml:space="preserve">Kriteria Mutu </w:t>
            </w:r>
          </w:p>
        </w:tc>
        <w:tc>
          <w:tcPr>
            <w:tcW w:w="5700" w:type="dxa"/>
            <w:vAlign w:val="center"/>
          </w:tcPr>
          <w:p>
            <w:r>
              <w:rPr>
                <w:rFonts w:ascii="Arial" w:hAnsi="Arial" w:eastAsia="Arial" w:cs="Arial"/>
                <w:b/>
                <w:bCs/>
                <w:sz w:val="24"/>
                <w:szCs w:val="24"/>
              </w:rPr>
              <w:t>Rekomendasi untuk peluang perbaikan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w:t>
            </w:r>
          </w:p>
        </w:tc>
        <w:tc>
          <w:tcPr>
            <w:tcW w:w="3500" w:type="dxa"/>
          </w:tcPr>
          <w:p>
            <w:r>
              <w:rPr>
                <w:rFonts w:ascii="Arial" w:hAnsi="Arial" w:eastAsia="Arial" w:cs="Arial"/>
                <w:b w:val="0"/>
                <w:bCs w:val="0"/>
                <w:sz w:val="24"/>
                <w:szCs w:val="24"/>
              </w:rPr>
              <w:t>Visi mendeskripsikan aspirasi program studi, arah yang dituju dan profil program studi di masa yang akan datang secara jelas, realistis, kredibel dan dilakukan peninjauan ataupun evaluasi untuk menjamin implementasi visi secara efisien dan efektif dengan memerhatikan arah perkembangan dan kondisi ekonomi dan bisnis.
 (Indikator 1)</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w:t>
            </w:r>
          </w:p>
        </w:tc>
        <w:tc>
          <w:tcPr>
            <w:tcW w:w="3500" w:type="dxa"/>
          </w:tcPr>
          <w:p>
            <w:r>
              <w:rPr>
                <w:rFonts w:ascii="Arial" w:hAnsi="Arial" w:eastAsia="Arial" w:cs="Arial"/>
                <w:b w:val="0"/>
                <w:bCs w:val="0"/>
                <w:sz w:val="24"/>
                <w:szCs w:val="24"/>
              </w:rPr>
              <w:t>Visi diharapkan mampu menumbuhkan komitmen dan energi, memberi makna, menjadi standar kinerja yang  menjembatani kondisi ekonomi dan bisnis masa sekarang dan masa yang akan datang  serta disusun, ditetapkan, terdokumentasi dengan  melibatkan seluruh pemangku kepentingan.
 (Indikator 2)</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w:t>
            </w:r>
          </w:p>
        </w:tc>
        <w:tc>
          <w:tcPr>
            <w:tcW w:w="3500" w:type="dxa"/>
          </w:tcPr>
          <w:p>
            <w:r>
              <w:rPr>
                <w:rFonts w:ascii="Arial" w:hAnsi="Arial" w:eastAsia="Arial" w:cs="Arial"/>
                <w:b w:val="0"/>
                <w:bCs w:val="0"/>
                <w:sz w:val="24"/>
                <w:szCs w:val="24"/>
              </w:rPr>
              <w:t>Misi menguraikan keilmuan yang disampaikan, dikembangkan dan diterapkan pada kegiatan Tridharma Pendidikan Tinggi serta menjelaskan luaran dan dampak ekonomi dan bisnis, pihak-pihak yang dilayani dan mendapat manfaat, arena berkarya, nilai-nilai dan keyakinan yang dijadikan dasar dalam berkarya.
 (Indikator 3)</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w:t>
            </w:r>
          </w:p>
        </w:tc>
        <w:tc>
          <w:tcPr>
            <w:tcW w:w="3500" w:type="dxa"/>
          </w:tcPr>
          <w:p>
            <w:r>
              <w:rPr>
                <w:rFonts w:ascii="Arial" w:hAnsi="Arial" w:eastAsia="Arial" w:cs="Arial"/>
                <w:b w:val="0"/>
                <w:bCs w:val="0"/>
                <w:sz w:val="24"/>
                <w:szCs w:val="24"/>
              </w:rPr>
              <w:t>Misi mendeskripsikan secara jelas keunikan keberadaan program studi dalam mencapai visi serta menunjukkan apa yang akan dilakukan, secara ringkas, mudah diingat, mutakhir dan realistis yang disusun, ditetapkan, terdokumentasi serta melibatkan seluruh pemangku kepentingan dengan melakukan peninjauan dan evaluasi agar dapat menjembatani kondisi ekonomi dan bisnis masa sekarang dan masa yang akan datang.
 (Indikator 4)</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w:t>
            </w:r>
          </w:p>
        </w:tc>
        <w:tc>
          <w:tcPr>
            <w:tcW w:w="3500" w:type="dxa"/>
          </w:tcPr>
          <w:p>
            <w:r>
              <w:rPr>
                <w:rFonts w:ascii="Arial" w:hAnsi="Arial" w:eastAsia="Arial" w:cs="Arial"/>
                <w:b w:val="0"/>
                <w:bCs w:val="0"/>
                <w:sz w:val="24"/>
                <w:szCs w:val="24"/>
              </w:rPr>
              <w:t>Tujuan diturunkan dari visi dan misi dan dievaluasi serta ditinjau ulang secara berkala agar sesuai dengan arah perkembangan ekonomi dan bisnis masa sekarang dan masa yang akan datang.
 (Indikator 5)</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6</w:t>
            </w:r>
          </w:p>
        </w:tc>
        <w:tc>
          <w:tcPr>
            <w:tcW w:w="3500" w:type="dxa"/>
          </w:tcPr>
          <w:p>
            <w:r>
              <w:rPr>
                <w:rFonts w:ascii="Arial" w:hAnsi="Arial" w:eastAsia="Arial" w:cs="Arial"/>
                <w:b w:val="0"/>
                <w:bCs w:val="0"/>
                <w:sz w:val="24"/>
                <w:szCs w:val="24"/>
              </w:rPr>
              <w:t>Sasaran diturunkan dari tujuan yang dinyatakan secara spesifik, terukur, hal yang akan dicapai, waktu pencapaiannya dan  keterlibatan pemangku kepentingan.
 (Indikator 6)</w:t>
            </w:r>
          </w:p>
        </w:tc>
        <w:tc>
          <w:tcPr>
            <w:tcW w:w="5700" w:type="dxa"/>
          </w:tcPr>
          <w:p>
            <w:r>
              <w:rPr>
                <w:rFonts w:ascii="Arial" w:hAnsi="Arial" w:eastAsia="Arial" w:cs="Arial"/>
                <w:b w:val="0"/>
                <w:bCs w:val="0"/>
                <w:sz w:val="24"/>
                <w:szCs w:val="24"/>
              </w:rPr>
              <w:t>Dokumen yang diunggah dan deskripsi sudah  baik, hanya pada profil Universitas PGRI Palembang perlu ada pengesahan dokumen atau bersumber dari mana, serta tambahkan dokumen pendukung Kurikulum dan RENOP. 
Sasaran diturunkan dari tujuan yang dinyatakan secara spesifik, terukur, hal yang akan dicapai, waktu pencapaiannya dan keterlibatan pemangku kepentingan.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7</w:t>
            </w:r>
          </w:p>
        </w:tc>
        <w:tc>
          <w:tcPr>
            <w:tcW w:w="3500" w:type="dxa"/>
          </w:tcPr>
          <w:p>
            <w:r>
              <w:rPr>
                <w:rFonts w:ascii="Arial" w:hAnsi="Arial" w:eastAsia="Arial" w:cs="Arial"/>
                <w:b w:val="0"/>
                <w:bCs w:val="0"/>
                <w:sz w:val="24"/>
                <w:szCs w:val="24"/>
              </w:rPr>
              <w:t>Strategi mendeskripsikan proses dalam mengemban misi dan mewujudkan visi, melalui pencapaian tujuan dan sasaran strategisnya yang memiliki dampak terhadap daya saing dengan  memanfaatkan sumber-sumber yang dimiliki secara efektif dan efisien untuk  untuk menjawab arah perkembangan ekonomi dan bisnis baik nasional dan global. (Indikator 7)</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8</w:t>
            </w:r>
          </w:p>
        </w:tc>
        <w:tc>
          <w:tcPr>
            <w:tcW w:w="3500" w:type="dxa"/>
          </w:tcPr>
          <w:p>
            <w:r>
              <w:rPr>
                <w:rFonts w:ascii="Arial" w:hAnsi="Arial" w:eastAsia="Arial" w:cs="Arial"/>
                <w:b w:val="0"/>
                <w:bCs w:val="0"/>
                <w:sz w:val="24"/>
                <w:szCs w:val="24"/>
              </w:rPr>
              <w:t>Strategi mendeskripsikan penyusunan dan penetapan strategi dengan melibatkan seluruh pemangku kepentingan serta peninjauan dan evaluasi terhadap implementasi strategi yang efektif dan efisien.
 (Indikator 8)</w:t>
            </w:r>
          </w:p>
        </w:tc>
        <w:tc>
          <w:tcPr>
            <w:tcW w:w="5700" w:type="dxa"/>
          </w:tcPr>
          <w:p>
            <w:r>
              <w:rPr>
                <w:rFonts w:ascii="Arial" w:hAnsi="Arial" w:eastAsia="Arial" w:cs="Arial"/>
                <w:b w:val="0"/>
                <w:bCs w:val="0"/>
                <w:sz w:val="24"/>
                <w:szCs w:val="24"/>
              </w:rPr>
              <w:t xml:space="preserve">Dokumen yang diunggah dan deskripsi sudah  baik, hanya pada profil Universitas PGRI Palembang perlu ada pengesahan dokumen atau bersumber dari mana, serta tambahkan dokumen pendukung Kurikulum dan RENOP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9</w:t>
            </w:r>
          </w:p>
        </w:tc>
        <w:tc>
          <w:tcPr>
            <w:tcW w:w="3500" w:type="dxa"/>
          </w:tcPr>
          <w:p>
            <w:r>
              <w:rPr>
                <w:rFonts w:ascii="Arial" w:hAnsi="Arial" w:eastAsia="Arial" w:cs="Arial"/>
                <w:b w:val="0"/>
                <w:bCs w:val="0"/>
                <w:sz w:val="24"/>
                <w:szCs w:val="24"/>
              </w:rPr>
              <w:t>Unit Pengelola Program Studi mendeskripsikan proses, struktur dan tradisi dalam menjalankan tugas dan menggunakan wewenangnya untuk mengemban misi, mewujudkan visi dan mencapai tujuan serta sasaran strategisnya yang didukung perilaku etis dan berintegritas para pengelola, tenaga kependidikan, mahasiswa dan mitra Unit Pengelola Program Studi.
 (Indikator 9)</w:t>
            </w:r>
          </w:p>
        </w:tc>
        <w:tc>
          <w:tcPr>
            <w:tcW w:w="5700" w:type="dxa"/>
          </w:tcPr>
          <w:p>
            <w:r>
              <w:rPr>
                <w:rFonts w:ascii="Arial" w:hAnsi="Arial" w:eastAsia="Arial" w:cs="Arial"/>
                <w:b w:val="0"/>
                <w:bCs w:val="0"/>
                <w:sz w:val="24"/>
                <w:szCs w:val="24"/>
              </w:rPr>
              <w:t>Tambahkan kekurangan dokumen wajib yang belum diunggah serta dokumen pendukung.
Untuk deskripsi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10</w:t>
            </w:r>
          </w:p>
        </w:tc>
        <w:tc>
          <w:tcPr>
            <w:tcW w:w="3500" w:type="dxa"/>
          </w:tcPr>
          <w:p>
            <w:r>
              <w:rPr>
                <w:rFonts w:ascii="Arial" w:hAnsi="Arial" w:eastAsia="Arial" w:cs="Arial"/>
                <w:b w:val="0"/>
                <w:bCs w:val="0"/>
                <w:sz w:val="24"/>
                <w:szCs w:val="24"/>
              </w:rPr>
              <w:t>Unit Pengelola Program Studi mendeskripsikan peran, tanggung jawab, wewenang dan proses pengambilan keputusan untuk pencapaian efektivitas organisasi berdasarkan visi, misi, tujuan dan strategi serta  menggunakan lima pilar sistem tata pamong, yang mencakup:  kredibel, transparan, akuntabel, bertanggung jawab dan adil. 
 (Indikator 10)</w:t>
            </w:r>
          </w:p>
        </w:tc>
        <w:tc>
          <w:tcPr>
            <w:tcW w:w="5700" w:type="dxa"/>
          </w:tcPr>
          <w:p>
            <w:r>
              <w:rPr>
                <w:rFonts w:ascii="Arial" w:hAnsi="Arial" w:eastAsia="Arial" w:cs="Arial"/>
                <w:b w:val="0"/>
                <w:bCs w:val="0"/>
                <w:sz w:val="24"/>
                <w:szCs w:val="24"/>
              </w:rPr>
              <w:t>Tambahkan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11</w:t>
            </w:r>
          </w:p>
        </w:tc>
        <w:tc>
          <w:tcPr>
            <w:tcW w:w="3500" w:type="dxa"/>
          </w:tcPr>
          <w:p>
            <w:r>
              <w:rPr>
                <w:rFonts w:ascii="Arial" w:hAnsi="Arial" w:eastAsia="Arial" w:cs="Arial"/>
                <w:b w:val="0"/>
                <w:bCs w:val="0"/>
                <w:sz w:val="24"/>
                <w:szCs w:val="24"/>
              </w:rPr>
              <w:t>Unit Pengelola Program Studi mendeskripsikan perencanaan, pengorganisasian, pengarahan dan pengendalian sumber daya agar program studi dapat menjalankan tugas dan kewajibannya secara efektif dan efisien serta akuntabel, bertanggung jawab, transparan, adil dan terhindar dari konflik kepentingan yang ditunjukkan dengan hasil evaluasi kepuasan para pemangku kepentingan terhadap keterlaksanaan dan efektivitas  tata kelola. 
 (Indikator 11)</w:t>
            </w:r>
          </w:p>
        </w:tc>
        <w:tc>
          <w:tcPr>
            <w:tcW w:w="5700" w:type="dxa"/>
          </w:tcPr>
          <w:p>
            <w:r>
              <w:rPr>
                <w:rFonts w:ascii="Arial" w:hAnsi="Arial" w:eastAsia="Arial" w:cs="Arial"/>
                <w:b w:val="0"/>
                <w:bCs w:val="0"/>
                <w:sz w:val="24"/>
                <w:szCs w:val="24"/>
              </w:rPr>
              <w:t>Tambahkan kekurangan  dokumen wajib yang belum diunggah serta dokumen pendukung.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12</w:t>
            </w:r>
          </w:p>
        </w:tc>
        <w:tc>
          <w:tcPr>
            <w:tcW w:w="3500" w:type="dxa"/>
          </w:tcPr>
          <w:p>
            <w:r>
              <w:rPr>
                <w:rFonts w:ascii="Arial" w:hAnsi="Arial" w:eastAsia="Arial" w:cs="Arial"/>
                <w:b w:val="0"/>
                <w:bCs w:val="0"/>
                <w:sz w:val="24"/>
                <w:szCs w:val="24"/>
              </w:rPr>
              <w:t>Unit Pengelola Program Studi mendeskripsikan sistem manajemen mutu internal yang diimplementasikan secara konsisten, efektif dan efisien serta dilaporkan secara berkala untuk tindak lanjut peningkatan mutu pendidikan tinggi. 
 (Indikator 12)</w:t>
            </w:r>
          </w:p>
        </w:tc>
        <w:tc>
          <w:tcPr>
            <w:tcW w:w="5700" w:type="dxa"/>
          </w:tcPr>
          <w:p>
            <w:r>
              <w:rPr>
                <w:rFonts w:ascii="Arial" w:hAnsi="Arial" w:eastAsia="Arial" w:cs="Arial"/>
                <w:b w:val="0"/>
                <w:bCs w:val="0"/>
                <w:sz w:val="24"/>
                <w:szCs w:val="24"/>
              </w:rPr>
              <w:t>Tambahkan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13</w:t>
            </w:r>
          </w:p>
        </w:tc>
        <w:tc>
          <w:tcPr>
            <w:tcW w:w="3500" w:type="dxa"/>
          </w:tcPr>
          <w:p>
            <w:r>
              <w:rPr>
                <w:rFonts w:ascii="Arial" w:hAnsi="Arial" w:eastAsia="Arial" w:cs="Arial"/>
                <w:b w:val="0"/>
                <w:bCs w:val="0"/>
                <w:sz w:val="24"/>
                <w:szCs w:val="24"/>
              </w:rPr>
              <w:t>Unit Pengelola Program Studi menjelaskan kegiatan dengan para mitranya dan hasil dari kegiatan tersebut.  
 (Indikator 13)</w:t>
            </w:r>
          </w:p>
        </w:tc>
        <w:tc>
          <w:tcPr>
            <w:tcW w:w="5700" w:type="dxa"/>
          </w:tcPr>
          <w:p>
            <w:r>
              <w:rPr>
                <w:rFonts w:ascii="Arial" w:hAnsi="Arial" w:eastAsia="Arial" w:cs="Arial"/>
                <w:b w:val="0"/>
                <w:bCs w:val="0"/>
                <w:sz w:val="24"/>
                <w:szCs w:val="24"/>
              </w:rPr>
              <w:t>Tambahkan kekurangan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14</w:t>
            </w:r>
          </w:p>
        </w:tc>
        <w:tc>
          <w:tcPr>
            <w:tcW w:w="3500" w:type="dxa"/>
          </w:tcPr>
          <w:p>
            <w:r>
              <w:rPr>
                <w:rFonts w:ascii="Arial" w:hAnsi="Arial" w:eastAsia="Arial" w:cs="Arial"/>
                <w:b w:val="0"/>
                <w:bCs w:val="0"/>
                <w:sz w:val="24"/>
                <w:szCs w:val="24"/>
              </w:rPr>
              <w:t>Unit Pengelola Program Studi menjelaskan keselarasan dan konsistensi antara kerja sama, visi, misi, tujuan dan aspirasi para pemangku kepentingan dengan memperhatikan isu ekonomi dan bisnis yang berkembang untuk memberi dampak positif kepada para pemangku kepentingan dan masyarakat luas.
 (Indikator 14)</w:t>
            </w:r>
          </w:p>
        </w:tc>
        <w:tc>
          <w:tcPr>
            <w:tcW w:w="5700" w:type="dxa"/>
          </w:tcPr>
          <w:p>
            <w:r>
              <w:rPr>
                <w:rFonts w:ascii="Arial" w:hAnsi="Arial" w:eastAsia="Arial" w:cs="Arial"/>
                <w:b w:val="0"/>
                <w:bCs w:val="0"/>
                <w:sz w:val="24"/>
                <w:szCs w:val="24"/>
              </w:rPr>
              <w:t>Tambahkan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15</w:t>
            </w:r>
          </w:p>
        </w:tc>
        <w:tc>
          <w:tcPr>
            <w:tcW w:w="3500" w:type="dxa"/>
          </w:tcPr>
          <w:p>
            <w:r>
              <w:rPr>
                <w:rFonts w:ascii="Arial" w:hAnsi="Arial" w:eastAsia="Arial" w:cs="Arial"/>
                <w:b w:val="0"/>
                <w:bCs w:val="0"/>
                <w:sz w:val="24"/>
                <w:szCs w:val="24"/>
              </w:rPr>
              <w:t>Unit Pengelola Program Studi menjelaskan cakupan kerja sama bidang Ilmu EMBA dan dampaknya. Kegiatan kerja sama program studi dapat mencakup bidang pendidikan, penelitian, dan/atau pengabdian kepada masyarakat dengan memperhatikan isu ekonomi dan bisnis yang berkembang di tingkat lokal, nasional, dan/atau internasional.
 (Indikator 15)</w:t>
            </w:r>
          </w:p>
        </w:tc>
        <w:tc>
          <w:tcPr>
            <w:tcW w:w="5700" w:type="dxa"/>
          </w:tcPr>
          <w:p>
            <w:r>
              <w:rPr>
                <w:rFonts w:ascii="Arial" w:hAnsi="Arial" w:eastAsia="Arial" w:cs="Arial"/>
                <w:b w:val="0"/>
                <w:bCs w:val="0"/>
                <w:sz w:val="24"/>
                <w:szCs w:val="24"/>
              </w:rPr>
              <w:t>Tambahkan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16</w:t>
            </w:r>
          </w:p>
        </w:tc>
        <w:tc>
          <w:tcPr>
            <w:tcW w:w="3500" w:type="dxa"/>
          </w:tcPr>
          <w:p>
            <w:r>
              <w:rPr>
                <w:rFonts w:ascii="Arial" w:hAnsi="Arial" w:eastAsia="Arial" w:cs="Arial"/>
                <w:b w:val="0"/>
                <w:bCs w:val="0"/>
                <w:sz w:val="24"/>
                <w:szCs w:val="24"/>
              </w:rPr>
              <w:t>Unit Pengelola Program Studi melakukan evaluasi kerjasama secara berkala dan tindak lanjut dengan mempertimbangkan dampak internal dan eksternal kerjasama.
 (Indikator 16)</w:t>
            </w:r>
          </w:p>
        </w:tc>
        <w:tc>
          <w:tcPr>
            <w:tcW w:w="5700" w:type="dxa"/>
          </w:tcPr>
          <w:p>
            <w:r>
              <w:rPr>
                <w:rFonts w:ascii="Arial" w:hAnsi="Arial" w:eastAsia="Arial" w:cs="Arial"/>
                <w:b w:val="0"/>
                <w:bCs w:val="0"/>
                <w:sz w:val="24"/>
                <w:szCs w:val="24"/>
              </w:rPr>
              <w:t>Tambahkan dokumen wajib serta dokumen pendukung yang perlu diunggah.
Deskripsi yang diuraikan sudah baik</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17</w:t>
            </w:r>
          </w:p>
        </w:tc>
        <w:tc>
          <w:tcPr>
            <w:tcW w:w="3500" w:type="dxa"/>
          </w:tcPr>
          <w:p>
            <w:r>
              <w:rPr>
                <w:rFonts w:ascii="Arial" w:hAnsi="Arial" w:eastAsia="Arial" w:cs="Arial"/>
                <w:b w:val="0"/>
                <w:bCs w:val="0"/>
                <w:sz w:val="24"/>
                <w:szCs w:val="24"/>
              </w:rPr>
              <w:t>Unit Pengelola Program Studi menjelaskan kebijakan dan prosedur penerimaan mahasiswa baru, mahasiswa asing dan transfer kredit secara transparan dan selaras dengan visi, misi, tujuan, strategi, nilai-nilai dan profil lulusan yang diharapkan serta efektivitas dan konsistensi pelaksanaannya. 
 (Indikator 17)</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18</w:t>
            </w:r>
          </w:p>
        </w:tc>
        <w:tc>
          <w:tcPr>
            <w:tcW w:w="3500" w:type="dxa"/>
          </w:tcPr>
          <w:p>
            <w:r>
              <w:rPr>
                <w:rFonts w:ascii="Arial" w:hAnsi="Arial" w:eastAsia="Arial" w:cs="Arial"/>
                <w:b w:val="0"/>
                <w:bCs w:val="0"/>
                <w:sz w:val="24"/>
                <w:szCs w:val="24"/>
              </w:rPr>
              <w:t>Unit Pengelola Program Studi menjelaskan sistem penerimaan mahasiswa baru meliputi kriteria dan persyaratan yang bersifat inklusif dengan mempertimbangkan asas pemerataan dan rasa keadilan.
 (Indikator 18)</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19</w:t>
            </w:r>
          </w:p>
        </w:tc>
        <w:tc>
          <w:tcPr>
            <w:tcW w:w="3500" w:type="dxa"/>
          </w:tcPr>
          <w:p>
            <w:r>
              <w:rPr>
                <w:rFonts w:ascii="Arial" w:hAnsi="Arial" w:eastAsia="Arial" w:cs="Arial"/>
                <w:b w:val="0"/>
                <w:bCs w:val="0"/>
                <w:sz w:val="24"/>
                <w:szCs w:val="24"/>
              </w:rPr>
              <w:t>Unit Pengelola Program Studi menyiapkan, menjelaskan dan mendukung mahasiswa untuk menjamin kemajuan akademik dan mendorong keberhasilan mahasiswa dalam penyelesaian program. 
 (Indikator 19)</w:t>
            </w:r>
          </w:p>
        </w:tc>
        <w:tc>
          <w:tcPr>
            <w:tcW w:w="5700" w:type="dxa"/>
          </w:tcPr>
          <w:p>
            <w:r>
              <w:rPr>
                <w:rFonts w:ascii="Arial" w:hAnsi="Arial" w:eastAsia="Arial" w:cs="Arial"/>
                <w:b w:val="0"/>
                <w:bCs w:val="0"/>
                <w:sz w:val="24"/>
                <w:szCs w:val="24"/>
              </w:rPr>
              <w:t>Dokumen dan deskripsi sudah baik.
Tambahkan Dokumen SOP pengajuan beasiswa
UPPS menyiapkan, menjelaskan dan mendukung mahasiswa untuk menjamin kemajuan akademik dan mendorong keberhasilan mahasiswa dalam penyelesaian program.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20</w:t>
            </w:r>
          </w:p>
        </w:tc>
        <w:tc>
          <w:tcPr>
            <w:tcW w:w="3500" w:type="dxa"/>
          </w:tcPr>
          <w:p>
            <w:r>
              <w:rPr>
                <w:rFonts w:ascii="Arial" w:hAnsi="Arial" w:eastAsia="Arial" w:cs="Arial"/>
                <w:b w:val="0"/>
                <w:bCs w:val="0"/>
                <w:sz w:val="24"/>
                <w:szCs w:val="24"/>
              </w:rPr>
              <w:t>"Unit Pengelola Program Studi mendeskripsikan kebijakan, proses dan upaya pemenuhan standar kinerja yang konsisten dengan tujuan pembelajaran program studi, dengan: 
a) mempersiapkan mahasiswa agar mampu menggunakan modalitas dan pedagogi program studi;
b) memberikan peringatan dini terkait masalah retensi dan perkembangan studi mahasiswa dan mengeluarkan mahasiswa dari program studi, jika perlu; 
c) memfasilitasi keterlibatan mahasiswa dalam semua aktivitas pembelajaran baik di kampus ataupun di luar kampus (Lembaga pemerintah/BUMN, dunia usaha, asosiasi pengusaha dan profesi) sebagai upaya meningkatkan hardskill dan softskill bidang ilmu EMBA.
d) memfasilitasi kegiatan Unit Kegiatan Mahasiswa (UKM) yang sesuai dengan visi, misi, tujuan dan strategi. "
 (Indikator 20)</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21</w:t>
            </w:r>
          </w:p>
        </w:tc>
        <w:tc>
          <w:tcPr>
            <w:tcW w:w="3500" w:type="dxa"/>
          </w:tcPr>
          <w:p>
            <w:r>
              <w:rPr>
                <w:rFonts w:ascii="Arial" w:hAnsi="Arial" w:eastAsia="Arial" w:cs="Arial"/>
                <w:b w:val="0"/>
                <w:bCs w:val="0"/>
                <w:sz w:val="24"/>
                <w:szCs w:val="24"/>
              </w:rPr>
              <w:t>Unit Pengelola Program Studi mendeskripsikan hasil kegiatan mahasiswa mengikuti program profesi, sertifikasi dan/atau lisensi bidang ilmu EMBA untuk meningkatkan kualitas lulusan yang sesuai dengan profil lulusan program studi. 
 (Indikator 21)</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22</w:t>
            </w:r>
          </w:p>
        </w:tc>
        <w:tc>
          <w:tcPr>
            <w:tcW w:w="3500" w:type="dxa"/>
          </w:tcPr>
          <w:p>
            <w:r>
              <w:rPr>
                <w:rFonts w:ascii="Arial" w:hAnsi="Arial" w:eastAsia="Arial" w:cs="Arial"/>
                <w:b w:val="0"/>
                <w:bCs w:val="0"/>
                <w:sz w:val="24"/>
                <w:szCs w:val="24"/>
              </w:rPr>
              <w:t>Unit Pengelola Program Studi mendeskripsikan evaluasi yang dilakukan untuk mengetahui perkembangan kinerja akademik dan kompetensi mahasiswa agar durasi pengerjaan tugas akhir sesuai dengan target yang telah ditetapkan serta tindak lanjut yang diperlukan dengan melibatkan dosen dalam kegiatan pengembangan akademik.
 (Indikator 22)</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23</w:t>
            </w:r>
          </w:p>
        </w:tc>
        <w:tc>
          <w:tcPr>
            <w:tcW w:w="3500" w:type="dxa"/>
          </w:tcPr>
          <w:p>
            <w:r>
              <w:rPr>
                <w:rFonts w:ascii="Arial" w:hAnsi="Arial" w:eastAsia="Arial" w:cs="Arial"/>
                <w:b w:val="0"/>
                <w:bCs w:val="0"/>
                <w:sz w:val="24"/>
                <w:szCs w:val="24"/>
              </w:rPr>
              <w:t>Unit Pengelola Program Studi menjelaskan upaya ketersediaan untuk  kesejahteraan mental dan fisik mahasiswa serta akses kepada mahasiswa untuk mendapatkan dan layanan kesehatan fisik dan layanan konseling. 
 (Indikator 23)</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24</w:t>
            </w:r>
          </w:p>
        </w:tc>
        <w:tc>
          <w:tcPr>
            <w:tcW w:w="3500" w:type="dxa"/>
          </w:tcPr>
          <w:p>
            <w:r>
              <w:rPr>
                <w:rFonts w:ascii="Arial" w:hAnsi="Arial" w:eastAsia="Arial" w:cs="Arial"/>
                <w:b w:val="0"/>
                <w:bCs w:val="0"/>
                <w:sz w:val="24"/>
                <w:szCs w:val="24"/>
              </w:rPr>
              <w:t>Unit Pengelola Program Studi mendeskripsikan fasilitas dan proses belajar yang memerhatikan kesejahteraan mahasiswa.
 (Indikator 24)</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25</w:t>
            </w:r>
          </w:p>
        </w:tc>
        <w:tc>
          <w:tcPr>
            <w:tcW w:w="3500" w:type="dxa"/>
          </w:tcPr>
          <w:p>
            <w:r>
              <w:rPr>
                <w:rFonts w:ascii="Arial" w:hAnsi="Arial" w:eastAsia="Arial" w:cs="Arial"/>
                <w:b w:val="0"/>
                <w:bCs w:val="0"/>
                <w:sz w:val="24"/>
                <w:szCs w:val="24"/>
              </w:rPr>
              <w:t>Unit Pengelola Program Studi mendeskripsikan program dan menyediakan fasilitas pengembangan karir dan kompetensi mahasiswa yang konsisten dengan visi, misi dan profil lulusan yang diharapkan sesuai dengan arah perkembangan ekonomi dan bisnis masa yang akan datang.
 (Indikator 25)</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26</w:t>
            </w:r>
          </w:p>
        </w:tc>
        <w:tc>
          <w:tcPr>
            <w:tcW w:w="3500" w:type="dxa"/>
          </w:tcPr>
          <w:p>
            <w:r>
              <w:rPr>
                <w:rFonts w:ascii="Arial" w:hAnsi="Arial" w:eastAsia="Arial" w:cs="Arial"/>
                <w:b w:val="0"/>
                <w:bCs w:val="0"/>
                <w:sz w:val="24"/>
                <w:szCs w:val="24"/>
              </w:rPr>
              <w:t>Unit Pengelola Program Studi memfasilitasi interaksi mahasiswa dengan sesama mahasiswa, dosen, alumni dan profesional dalam kegiatan akademik dan non-akademik untuk pengembangan kompetensi dan karir mahasiswa. 
 (Indikator 26)</w:t>
            </w:r>
          </w:p>
        </w:tc>
        <w:tc>
          <w:tcPr>
            <w:tcW w:w="5700" w:type="dxa"/>
          </w:tcPr>
          <w:p>
            <w:r>
              <w:rPr>
                <w:rFonts w:ascii="Arial" w:hAnsi="Arial" w:eastAsia="Arial" w:cs="Arial"/>
                <w:b w:val="0"/>
                <w:bCs w:val="0"/>
                <w:sz w:val="24"/>
                <w:szCs w:val="24"/>
              </w:rPr>
              <w:t>Dokumen dan deskripsi sudah baik.
Tambahkan Dokumen SOP pengajuan beasiswa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27</w:t>
            </w:r>
          </w:p>
        </w:tc>
        <w:tc>
          <w:tcPr>
            <w:tcW w:w="3500" w:type="dxa"/>
          </w:tcPr>
          <w:p>
            <w:r>
              <w:rPr>
                <w:rFonts w:ascii="Arial" w:hAnsi="Arial" w:eastAsia="Arial" w:cs="Arial"/>
                <w:b w:val="0"/>
                <w:bCs w:val="0"/>
                <w:sz w:val="24"/>
                <w:szCs w:val="24"/>
              </w:rPr>
              <w:t>Unit Pengelola Program Studi menjelaskan perencanaan, pengeluaran dan pengelolaan sumber daya keuangan untuk mendukung, mempertahankan, dan meningkatkan kualitas layanan program studi; memenuhi kebutuhan operasional pendidikan, penelitian dan pengabdian kepada masyarakat serta investasi yang selaras dengan visi, misi, tujuan dan strategi.
 (Indikator 36)</w:t>
            </w:r>
          </w:p>
        </w:tc>
        <w:tc>
          <w:tcPr>
            <w:tcW w:w="5700" w:type="dxa"/>
          </w:tcPr>
          <w:p>
            <w:r>
              <w:rPr>
                <w:rFonts w:ascii="Arial" w:hAnsi="Arial" w:eastAsia="Arial" w:cs="Arial"/>
                <w:b w:val="0"/>
                <w:bCs w:val="0"/>
                <w:sz w:val="24"/>
                <w:szCs w:val="24"/>
              </w:rPr>
              <w:t>Semua dokumen wajib telah diunggah dan Deskripsi sudah baik, hanya Dokumen Pendukung LKPS belum ada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28</w:t>
            </w:r>
          </w:p>
        </w:tc>
        <w:tc>
          <w:tcPr>
            <w:tcW w:w="3500" w:type="dxa"/>
          </w:tcPr>
          <w:p>
            <w:r>
              <w:rPr>
                <w:rFonts w:ascii="Arial" w:hAnsi="Arial" w:eastAsia="Arial" w:cs="Arial"/>
                <w:b w:val="0"/>
                <w:bCs w:val="0"/>
                <w:sz w:val="24"/>
                <w:szCs w:val="24"/>
              </w:rPr>
              <w:t>Unit Pengelola Program Studi menjelaskan usaha-usaha yang dilakukan untuk menjamin keberlanjutan sumber daya keuangan dalam mencapai visi, misi, tujuan dan strategi. 
 (Indikator 37)</w:t>
            </w:r>
          </w:p>
        </w:tc>
        <w:tc>
          <w:tcPr>
            <w:tcW w:w="5700" w:type="dxa"/>
          </w:tcPr>
          <w:p>
            <w:r>
              <w:rPr>
                <w:rFonts w:ascii="Arial" w:hAnsi="Arial" w:eastAsia="Arial" w:cs="Arial"/>
                <w:b w:val="0"/>
                <w:bCs w:val="0"/>
                <w:sz w:val="24"/>
                <w:szCs w:val="24"/>
              </w:rPr>
              <w:t>Semua dokumen wajib telah diunggah dan Deskripsi sudah baik, hanya Dokumen Pendukung LKPS belum ada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29</w:t>
            </w:r>
          </w:p>
        </w:tc>
        <w:tc>
          <w:tcPr>
            <w:tcW w:w="3500" w:type="dxa"/>
          </w:tcPr>
          <w:p>
            <w:r>
              <w:rPr>
                <w:rFonts w:ascii="Arial" w:hAnsi="Arial" w:eastAsia="Arial" w:cs="Arial"/>
                <w:b w:val="0"/>
                <w:bCs w:val="0"/>
                <w:sz w:val="24"/>
                <w:szCs w:val="24"/>
              </w:rPr>
              <w:t>Unit Pengelola Program Studi menjelaskan penyediaan dan pengelolaan sarana dan prasarana fisik dan virtual yang dapat dimanfaatkan oleh mahasiswa dan dosen untuk kegiatan pendidikan, penelitian, pengabdian kepada masyarakat dan oleh tenaga kependidikan untuk mendukung kegiatan pendidikan, penelitian dan pengabdian kepada masyarakat.
 (Indikator 38)</w:t>
            </w:r>
          </w:p>
        </w:tc>
        <w:tc>
          <w:tcPr>
            <w:tcW w:w="5700" w:type="dxa"/>
          </w:tcPr>
          <w:p>
            <w:r>
              <w:rPr>
                <w:rFonts w:ascii="Arial" w:hAnsi="Arial" w:eastAsia="Arial" w:cs="Arial"/>
                <w:b w:val="0"/>
                <w:bCs w:val="0"/>
                <w:sz w:val="24"/>
                <w:szCs w:val="24"/>
              </w:rPr>
              <w:t>Semua dokumen wajib telah diunggah dan Deskripsi sudah baik, hanya Dokumen Pendukung LKPS belum ada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30</w:t>
            </w:r>
          </w:p>
        </w:tc>
        <w:tc>
          <w:tcPr>
            <w:tcW w:w="3500" w:type="dxa"/>
          </w:tcPr>
          <w:p>
            <w:r>
              <w:rPr>
                <w:rFonts w:ascii="Arial" w:hAnsi="Arial" w:eastAsia="Arial" w:cs="Arial"/>
                <w:b w:val="0"/>
                <w:bCs w:val="0"/>
                <w:sz w:val="24"/>
                <w:szCs w:val="24"/>
              </w:rPr>
              <w:t>Unit Pengelola Program Studi menjelaskan kecukupan dan rencana pengembangan sarana dan prasarana untuk melayani mahasiswa, dosen dan tenaga kependidikan dengan merujuk pada SN-Dikti dan selaras dengan visi, misi, tujuan dan strategi.
 (Indikator 39)</w:t>
            </w:r>
          </w:p>
        </w:tc>
        <w:tc>
          <w:tcPr>
            <w:tcW w:w="5700" w:type="dxa"/>
          </w:tcPr>
          <w:p>
            <w:r>
              <w:rPr>
                <w:rFonts w:ascii="Arial" w:hAnsi="Arial" w:eastAsia="Arial" w:cs="Arial"/>
                <w:b w:val="0"/>
                <w:bCs w:val="0"/>
                <w:sz w:val="24"/>
                <w:szCs w:val="24"/>
              </w:rPr>
              <w:t>Semua dokumen wajib telah diunggah dan Deskripsi sudah baik, hanya Dokumen Pendukung LKPS belum ada</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31</w:t>
            </w:r>
          </w:p>
        </w:tc>
        <w:tc>
          <w:tcPr>
            <w:tcW w:w="3500" w:type="dxa"/>
          </w:tcPr>
          <w:p>
            <w:r>
              <w:rPr>
                <w:rFonts w:ascii="Arial" w:hAnsi="Arial" w:eastAsia="Arial" w:cs="Arial"/>
                <w:b w:val="0"/>
                <w:bCs w:val="0"/>
                <w:sz w:val="24"/>
                <w:szCs w:val="24"/>
              </w:rPr>
              <w:t>Unit Pengelola Program Studi mendeskripsikan pedoman pelaksanaan dan roadmap pengabdian kepada masyarakat yang sesuai dengan visi dan misi serta isu-isu ekonomi dan bisnis yang berkembang baik di tingkat lokal, nasional maupun internasional. 
 (Indikator 51)</w:t>
            </w:r>
          </w:p>
        </w:tc>
        <w:tc>
          <w:tcPr>
            <w:tcW w:w="5700" w:type="dxa"/>
          </w:tcPr>
          <w:p>
            <w:r>
              <w:rPr>
                <w:rFonts w:ascii="Arial" w:hAnsi="Arial" w:eastAsia="Arial" w:cs="Arial"/>
                <w:b w:val="0"/>
                <w:bCs w:val="0"/>
                <w:sz w:val="24"/>
                <w:szCs w:val="24"/>
              </w:rPr>
              <w:t>Beberapa dokumen belum terpenuhi dan perlu diunggah.
Dokumen Wajib yang perlu diunggah :
1. Bukti hasil PkM digunakan untuk mendukung proses belajar mengajar.
2. SK keterlibatan mahasiswa dalam kegiatan PkM.
Dokumen Pendukung :
RIP DAN RENSTRA LPPM,
MONITORING UNTUK PELAKSANAAN PENELITIAN DAN PkM,
ROADMAP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32</w:t>
            </w:r>
          </w:p>
        </w:tc>
        <w:tc>
          <w:tcPr>
            <w:tcW w:w="3500" w:type="dxa"/>
          </w:tcPr>
          <w:p>
            <w:r>
              <w:rPr>
                <w:rFonts w:ascii="Arial" w:hAnsi="Arial" w:eastAsia="Arial" w:cs="Arial"/>
                <w:b w:val="0"/>
                <w:bCs w:val="0"/>
                <w:sz w:val="24"/>
                <w:szCs w:val="24"/>
              </w:rPr>
              <w:t>Unit Pengelola Program Studi dan program studi mendeskripsikan sumber pendanaan untuk mendorong dosen agar mengikuti pengabdian kepada masyarakat sesuai dengan visi dan misi serta isu-isu ekonomi dan bisnis yang berkembang baik di tingkat lokal, nasional maupun internasional. 
 (Indikator 52)</w:t>
            </w:r>
          </w:p>
        </w:tc>
        <w:tc>
          <w:tcPr>
            <w:tcW w:w="5700" w:type="dxa"/>
          </w:tcPr>
          <w:p>
            <w:r>
              <w:rPr>
                <w:rFonts w:ascii="Arial" w:hAnsi="Arial" w:eastAsia="Arial" w:cs="Arial"/>
                <w:b w:val="0"/>
                <w:bCs w:val="0"/>
                <w:sz w:val="24"/>
                <w:szCs w:val="24"/>
              </w:rPr>
              <w:t>Beberapa dokumen belum terpenuhi dan perlu diunggah.
Dokumen Wajib yang perlu diunggah :
1. Bukti hasil PkM digunakan untuk mendukung proses belajar mengajar.
2. SK keterlibatan mahasiswa dalam kegiatan PkM.
Dokumen Pendukung :
RIP DAN RENSTRA LPPM,
MONITORING UNTUK PELAKSANAAN PENELITIAN DAN PkM,
ROADMAP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33</w:t>
            </w:r>
          </w:p>
        </w:tc>
        <w:tc>
          <w:tcPr>
            <w:tcW w:w="3500" w:type="dxa"/>
          </w:tcPr>
          <w:p>
            <w:r>
              <w:rPr>
                <w:rFonts w:ascii="Arial" w:hAnsi="Arial" w:eastAsia="Arial" w:cs="Arial"/>
                <w:b w:val="0"/>
                <w:bCs w:val="0"/>
                <w:sz w:val="24"/>
                <w:szCs w:val="24"/>
              </w:rPr>
              <w:t>Unit Pengelola Program Studi memiliki sumber pendanaan dan realisasi yang berasal dari internal, pemerintah, industri dan lembaga lain yang relevan dan mendukung visi, misi, tujuan dan strategi.
 (Indikator 53)</w:t>
            </w:r>
          </w:p>
        </w:tc>
        <w:tc>
          <w:tcPr>
            <w:tcW w:w="5700" w:type="dxa"/>
          </w:tcPr>
          <w:p>
            <w:r>
              <w:rPr>
                <w:rFonts w:ascii="Arial" w:hAnsi="Arial" w:eastAsia="Arial" w:cs="Arial"/>
                <w:b w:val="0"/>
                <w:bCs w:val="0"/>
                <w:sz w:val="24"/>
                <w:szCs w:val="24"/>
              </w:rPr>
              <w:t>Beberapa dokumen belum terpenuhi dan perlu diunggah.
Dokumen Wajib yang perlu diunggah :
1. Bukti hasil PkM digunakan untuk mendukung proses belajar mengajar.
2. SK keterlibatan mahasiswa dalam kegiatan PkM.
Dokumen Pendukung :
RIP DAN RENSTRA LPPM,
MONITORING UNTUK PELAKSANAAN PENELITIAN DAN PkM,
ROADMAP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34</w:t>
            </w:r>
          </w:p>
        </w:tc>
        <w:tc>
          <w:tcPr>
            <w:tcW w:w="3500" w:type="dxa"/>
          </w:tcPr>
          <w:p>
            <w:r>
              <w:rPr>
                <w:rFonts w:ascii="Arial" w:hAnsi="Arial" w:eastAsia="Arial" w:cs="Arial"/>
                <w:b w:val="0"/>
                <w:bCs w:val="0"/>
                <w:sz w:val="24"/>
                <w:szCs w:val="24"/>
              </w:rPr>
              <w:t>Unit Pengelola Program Studi mendeskripsikan pengabdian kepada masyarakat dosen dan/atau dosen dengan mahasiswa yang sesuai dengan roadmap pengabdian kepada masyarakat dan/atau bermitra dengan pihak eksternal pada tahun berjalan serta didesiminasikan dalam publikasi dan/atau pertemuan ilmiah tingkat lokal, nasional atau internasional dan mendukung visi, misi, tujuan dan strategi.
 (Indikator 54)</w:t>
            </w:r>
          </w:p>
        </w:tc>
        <w:tc>
          <w:tcPr>
            <w:tcW w:w="5700" w:type="dxa"/>
          </w:tcPr>
          <w:p>
            <w:r>
              <w:rPr>
                <w:rFonts w:ascii="Arial" w:hAnsi="Arial" w:eastAsia="Arial" w:cs="Arial"/>
                <w:b w:val="0"/>
                <w:bCs w:val="0"/>
                <w:sz w:val="24"/>
                <w:szCs w:val="24"/>
              </w:rPr>
              <w:t>Beberapa dokumen belum terpenuhi dan perlu diunggah.
Dokumen Wajib yang perlu diunggah :
1. Bukti hasil PkM digunakan untuk mendukung proses belajar mengajar.
2. SK keterlibatan mahasiswa dalam kegiatan PkM.
Dokumen Pendukung :
RIP DAN RENSTRA LPPM,
MONITORING UNTUK PELAKSANAAN PENELITIAN DAN PkM,
ROADMAP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35</w:t>
            </w:r>
          </w:p>
        </w:tc>
        <w:tc>
          <w:tcPr>
            <w:tcW w:w="3500" w:type="dxa"/>
          </w:tcPr>
          <w:p>
            <w:r>
              <w:rPr>
                <w:rFonts w:ascii="Arial" w:hAnsi="Arial" w:eastAsia="Arial" w:cs="Arial"/>
                <w:b w:val="0"/>
                <w:bCs w:val="0"/>
                <w:sz w:val="24"/>
                <w:szCs w:val="24"/>
              </w:rPr>
              <w:t>Unit Pengelola Program Studi dan program studi mendeskripsikan kontribusi hasil pengabdian kepada masyarakat pada pengembangan pengajaran, ilmu pengetahuan dan praktik di bidang Ekonomi, Manajemen, Bisnis dan Akuntansi baik di tingkat lokal, nasional atau internasional dan mendukung visi, misi, tujuan dan strategi.
 (Indikator 55)</w:t>
            </w:r>
          </w:p>
        </w:tc>
        <w:tc>
          <w:tcPr>
            <w:tcW w:w="5700" w:type="dxa"/>
          </w:tcPr>
          <w:p>
            <w:r>
              <w:rPr>
                <w:rFonts w:ascii="Arial" w:hAnsi="Arial" w:eastAsia="Arial" w:cs="Arial"/>
                <w:b w:val="0"/>
                <w:bCs w:val="0"/>
                <w:sz w:val="24"/>
                <w:szCs w:val="24"/>
              </w:rPr>
              <w:t>Beberapa dokumen belum terpenuhi dan perlu diunggah.
Dokumen Wajib yang perlu diunggah :
1. Bukti hasil PkM digunakan untuk mendukung proses belajar mengajar.
2. SK keterlibatan mahasiswa dalam kegiatan PkM.
Dokumen Pendukung :
RIP DAN RENSTRA LPPM,
MONITORING UNTUK PELAKSANAAN PENELITIAN DAN PkM,
ROADMAP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36</w:t>
            </w:r>
          </w:p>
        </w:tc>
        <w:tc>
          <w:tcPr>
            <w:tcW w:w="3500" w:type="dxa"/>
          </w:tcPr>
          <w:p>
            <w:r>
              <w:rPr>
                <w:rFonts w:ascii="Arial" w:hAnsi="Arial" w:eastAsia="Arial" w:cs="Arial"/>
                <w:b w:val="0"/>
                <w:bCs w:val="0"/>
                <w:sz w:val="24"/>
                <w:szCs w:val="24"/>
              </w:rPr>
              <w:t>Unit Pengelola Program Studi mendeskripsikan profil dan capaian pembelajaran lulusan sesuai dengan yang ditetapkan oleh Unit Pengelola Program Studi dan perguruan tinggi dengan mengacu pada KKNI serta selaras dengan visi keilmuan program studi. 
 (Indikator 56)</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37</w:t>
            </w:r>
          </w:p>
        </w:tc>
        <w:tc>
          <w:tcPr>
            <w:tcW w:w="3500" w:type="dxa"/>
          </w:tcPr>
          <w:p>
            <w:r>
              <w:rPr>
                <w:rFonts w:ascii="Arial" w:hAnsi="Arial" w:eastAsia="Arial" w:cs="Arial"/>
                <w:b w:val="0"/>
                <w:bCs w:val="0"/>
                <w:sz w:val="24"/>
                <w:szCs w:val="24"/>
              </w:rPr>
              <w:t>Unit Pengelola Program Studi mendeskripsikan tingkat pemenuhan target capaian pembelajaran program studi. 
 (Indikator 57)</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38</w:t>
            </w:r>
          </w:p>
        </w:tc>
        <w:tc>
          <w:tcPr>
            <w:tcW w:w="3500" w:type="dxa"/>
          </w:tcPr>
          <w:p>
            <w:r>
              <w:rPr>
                <w:rFonts w:ascii="Arial" w:hAnsi="Arial" w:eastAsia="Arial" w:cs="Arial"/>
                <w:b w:val="0"/>
                <w:bCs w:val="0"/>
                <w:sz w:val="24"/>
                <w:szCs w:val="24"/>
              </w:rPr>
              <w:t>Unit Pengelola Program Studi mendeskripsikan hasil intervensi dan penerapan penyesuaian/peninjauan kurikulum untuk perbaikan kualitas pembelajaran berdasar tingkat pemenuhan capaian pembelajaran dan masukan dari para pemangku kepentingan.
 (Indikator 58)</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39</w:t>
            </w:r>
          </w:p>
        </w:tc>
        <w:tc>
          <w:tcPr>
            <w:tcW w:w="3500" w:type="dxa"/>
          </w:tcPr>
          <w:p>
            <w:r>
              <w:rPr>
                <w:rFonts w:ascii="Arial" w:hAnsi="Arial" w:eastAsia="Arial" w:cs="Arial"/>
                <w:b w:val="0"/>
                <w:bCs w:val="0"/>
                <w:sz w:val="24"/>
                <w:szCs w:val="24"/>
              </w:rPr>
              <w:t>Unit Pengelola Program Studi mendeskripsikan hasil penelusuran lulusan, umpan balik pengguna lulusan dan persepsi publik terhadap lulusan yang sesuai dengan capaian pembelajaran lulusan.
 (Indikator 59)</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40</w:t>
            </w:r>
          </w:p>
        </w:tc>
        <w:tc>
          <w:tcPr>
            <w:tcW w:w="3500" w:type="dxa"/>
          </w:tcPr>
          <w:p>
            <w:r>
              <w:rPr>
                <w:rFonts w:ascii="Arial" w:hAnsi="Arial" w:eastAsia="Arial" w:cs="Arial"/>
                <w:b w:val="0"/>
                <w:bCs w:val="0"/>
                <w:sz w:val="24"/>
                <w:szCs w:val="24"/>
              </w:rPr>
              <w:t>Unit Pengelola Program Studi melakukan evaluasi pada proses pembelajaran yang merupakan bagian dari penilaian kinerja dosen.
 (Indikator 60)</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41</w:t>
            </w:r>
          </w:p>
        </w:tc>
        <w:tc>
          <w:tcPr>
            <w:tcW w:w="3500" w:type="dxa"/>
          </w:tcPr>
          <w:p>
            <w:r>
              <w:rPr>
                <w:rFonts w:ascii="Arial" w:hAnsi="Arial" w:eastAsia="Arial" w:cs="Arial"/>
                <w:b w:val="0"/>
                <w:bCs w:val="0"/>
                <w:sz w:val="24"/>
                <w:szCs w:val="24"/>
              </w:rPr>
              <w:t>Unit Pengelola Program Studi melakukan evaluasi pada proses pembelajaran yang merupakan bagian dari penilaian kinerja tenaga kependidikan.
 (Indikator 61)</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42</w:t>
            </w:r>
          </w:p>
        </w:tc>
        <w:tc>
          <w:tcPr>
            <w:tcW w:w="3500" w:type="dxa"/>
          </w:tcPr>
          <w:p>
            <w:r>
              <w:rPr>
                <w:rFonts w:ascii="Arial" w:hAnsi="Arial" w:eastAsia="Arial" w:cs="Arial"/>
                <w:b w:val="0"/>
                <w:bCs w:val="0"/>
                <w:sz w:val="24"/>
                <w:szCs w:val="24"/>
              </w:rPr>
              <w:t>Unit Pengelola Program Studi mendeskripsikan kontribusi intelektual yang ditunjukkan dengan rekognisi pada bidang pendidikan dan pengajaran yang bermanfaat untuk akademik, profesional dan sosial masyarakat sesuai dengan visi, misi, tujuan dan strategi.
 (Indikator 62)</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43</w:t>
            </w:r>
          </w:p>
        </w:tc>
        <w:tc>
          <w:tcPr>
            <w:tcW w:w="3500" w:type="dxa"/>
          </w:tcPr>
          <w:p>
            <w:r>
              <w:rPr>
                <w:rFonts w:ascii="Arial" w:hAnsi="Arial" w:eastAsia="Arial" w:cs="Arial"/>
                <w:b w:val="0"/>
                <w:bCs w:val="0"/>
                <w:sz w:val="24"/>
                <w:szCs w:val="24"/>
              </w:rPr>
              <w:t>Unit Pengelola Program Studi mendeskripsikan prestasi akademik dan non-akademik yang sesuai dengan Standar Perguruan Tinggi atau Unit Pengelola Program Studi dan selaras dengan visi, misi, tujuan dan strategi.
 (Indikator 63)</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44</w:t>
            </w:r>
          </w:p>
        </w:tc>
        <w:tc>
          <w:tcPr>
            <w:tcW w:w="3500" w:type="dxa"/>
          </w:tcPr>
          <w:p>
            <w:r>
              <w:rPr>
                <w:rFonts w:ascii="Arial" w:hAnsi="Arial" w:eastAsia="Arial" w:cs="Arial"/>
                <w:b w:val="0"/>
                <w:bCs w:val="0"/>
                <w:sz w:val="24"/>
                <w:szCs w:val="24"/>
              </w:rPr>
              <w:t>Unit Pengelola Program Studi mendeskripsikan rata-rata lulusan dengan masa studi yang sesuai dengan dengan Standar Perguruan Tinggi atau Unit Pengelola Program Studi dan selaras dengan visi, misi, tujuan dan strategi.
 (Indikator 64)</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45</w:t>
            </w:r>
          </w:p>
        </w:tc>
        <w:tc>
          <w:tcPr>
            <w:tcW w:w="3500" w:type="dxa"/>
          </w:tcPr>
          <w:p>
            <w:r>
              <w:rPr>
                <w:rFonts w:ascii="Arial" w:hAnsi="Arial" w:eastAsia="Arial" w:cs="Arial"/>
                <w:b w:val="0"/>
                <w:bCs w:val="0"/>
                <w:sz w:val="24"/>
                <w:szCs w:val="24"/>
              </w:rPr>
              <w:t>Unit Pengelola Program Studi mendeskripsikan data lulusan yang berhasil memasuki dunia kerja dan bisnis yang sesuai dengan Standar Perguruan Tinggi atau Unit Pengelola Program Studi dan selaras dengan visi, misi, tujuan dan strategi.
 (Indikator 65)</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46</w:t>
            </w:r>
          </w:p>
        </w:tc>
        <w:tc>
          <w:tcPr>
            <w:tcW w:w="3500" w:type="dxa"/>
          </w:tcPr>
          <w:p>
            <w:r>
              <w:rPr>
                <w:rFonts w:ascii="Arial" w:hAnsi="Arial" w:eastAsia="Arial" w:cs="Arial"/>
                <w:b w:val="0"/>
                <w:bCs w:val="0"/>
                <w:sz w:val="24"/>
                <w:szCs w:val="24"/>
              </w:rPr>
              <w:t>Unit Pengelola Program Studi mendeskripsikan lulusan yang bekerja selaras dengan bidangnya yang sesuai dengan Standar Perguruan Tinggi atau Unit Pengelola Program Studi dan selaras dengan visi, misi, tujuan dan strategi.
 (Indikator 66)</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47</w:t>
            </w:r>
          </w:p>
        </w:tc>
        <w:tc>
          <w:tcPr>
            <w:tcW w:w="3500" w:type="dxa"/>
          </w:tcPr>
          <w:p>
            <w:r>
              <w:rPr>
                <w:rFonts w:ascii="Arial" w:hAnsi="Arial" w:eastAsia="Arial" w:cs="Arial"/>
                <w:b w:val="0"/>
                <w:bCs w:val="0"/>
                <w:sz w:val="24"/>
                <w:szCs w:val="24"/>
              </w:rPr>
              <w:t>Unit Pengelola Program Studi mendeskripsikan  lulusan dengan jangkauan operasi kerja yang sesuai dengan Standar Perguruan Tinggi atau Unit Pengelola Program Studi dan selaras dengan visi, misi, tujuan dan strategi.
 (Indikator 67)</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48</w:t>
            </w:r>
          </w:p>
        </w:tc>
        <w:tc>
          <w:tcPr>
            <w:tcW w:w="3500" w:type="dxa"/>
          </w:tcPr>
          <w:p>
            <w:r>
              <w:rPr>
                <w:rFonts w:ascii="Arial" w:hAnsi="Arial" w:eastAsia="Arial" w:cs="Arial"/>
                <w:b w:val="0"/>
                <w:bCs w:val="0"/>
                <w:sz w:val="24"/>
                <w:szCs w:val="24"/>
              </w:rPr>
              <w:t>Unit Pengelola Program Studi melakukan survei kepuasan pengguna akan kemampuan kerja lulusan dengan hasil yang sesuai dengan Standar Perguruan Tinggi atau Unit Pengelola Program Studi dan selaras dengan visi, misi, tujuan dan strategi.
 (Indikator 68)</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49</w:t>
            </w:r>
          </w:p>
        </w:tc>
        <w:tc>
          <w:tcPr>
            <w:tcW w:w="3500" w:type="dxa"/>
          </w:tcPr>
          <w:p>
            <w:r>
              <w:rPr>
                <w:rFonts w:ascii="Arial" w:hAnsi="Arial" w:eastAsia="Arial" w:cs="Arial"/>
                <w:b w:val="0"/>
                <w:bCs w:val="0"/>
                <w:sz w:val="24"/>
                <w:szCs w:val="24"/>
              </w:rPr>
              <w:t>Unit Pengelola Program Studi mendeskripsikan kontribusi intelektual yang ditunjukkan dengan rekognisi pada bidang pengabdian masyarakat yang bermanfaat untuk akademik, profesional dan sosial masyarakat sesuai dengan visi dan misi Unit Pengelola Program Studi.
 (Indikator 69)</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50</w:t>
            </w:r>
          </w:p>
        </w:tc>
        <w:tc>
          <w:tcPr>
            <w:tcW w:w="3500" w:type="dxa"/>
          </w:tcPr>
          <w:p>
            <w:r>
              <w:rPr>
                <w:rFonts w:ascii="Arial" w:hAnsi="Arial" w:eastAsia="Arial" w:cs="Arial"/>
                <w:b w:val="0"/>
                <w:bCs w:val="0"/>
                <w:sz w:val="24"/>
                <w:szCs w:val="24"/>
              </w:rPr>
              <w:t>Unit Pengelola Program Studi melakukan evaluasi proses pengabdian masyarakat yang merupakan bagian dari penilaian kinerja dosen.
 (Indikator 70)</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51</w:t>
            </w:r>
          </w:p>
        </w:tc>
        <w:tc>
          <w:tcPr>
            <w:tcW w:w="3500" w:type="dxa"/>
          </w:tcPr>
          <w:p>
            <w:r>
              <w:rPr>
                <w:rFonts w:ascii="Arial" w:hAnsi="Arial" w:eastAsia="Arial" w:cs="Arial"/>
                <w:b w:val="0"/>
                <w:bCs w:val="0"/>
                <w:sz w:val="24"/>
                <w:szCs w:val="24"/>
              </w:rPr>
              <w:t>Unit Pengelola Program Studi mendeskripsikan pedoman yang mengatur kontribusi hasil luaran pengabdian kepada masyarakat untuk pengembangan ilmu pengetahuan, praktek dan profesional.
 (Indikator 71)</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52</w:t>
            </w:r>
          </w:p>
        </w:tc>
        <w:tc>
          <w:tcPr>
            <w:tcW w:w="3500" w:type="dxa"/>
          </w:tcPr>
          <w:p>
            <w:r>
              <w:rPr>
                <w:rFonts w:ascii="Arial" w:hAnsi="Arial" w:eastAsia="Arial" w:cs="Arial"/>
                <w:b w:val="0"/>
                <w:bCs w:val="0"/>
                <w:sz w:val="24"/>
                <w:szCs w:val="24"/>
              </w:rPr>
              <w:t>Unit Pengelola Program Studi mendeskripsikan kontribusi intelektual yang ditunjukkan dengan rekognisi pada bidang pengabdian masyarakat yang bermanfaat untuk akademik, profesional dan sosial masyarakat sesuai dengan visi dan misi Unit Pengelola Program Studi.
 (Indikator 72)</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53</w:t>
            </w:r>
          </w:p>
        </w:tc>
        <w:tc>
          <w:tcPr>
            <w:tcW w:w="3500" w:type="dxa"/>
          </w:tcPr>
          <w:p>
            <w:r>
              <w:rPr>
                <w:rFonts w:ascii="Arial" w:hAnsi="Arial" w:eastAsia="Arial" w:cs="Arial"/>
                <w:b w:val="0"/>
                <w:bCs w:val="0"/>
                <w:sz w:val="24"/>
                <w:szCs w:val="24"/>
              </w:rPr>
              <w:t>Unit Pengelola Program Studi melakukan evaluasi proses pengabdian masyarakat yang merupakan bagian dari penilaian kinerja dosen.
 (Indikator 73)</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500" w:type="dxa"/>
          </w:tcPr>
          <w:p>
            <w:r>
              <w:rPr>
                <w:rFonts w:ascii="Arial" w:hAnsi="Arial" w:eastAsia="Arial" w:cs="Arial"/>
                <w:b w:val="0"/>
                <w:bCs w:val="0"/>
                <w:sz w:val="24"/>
                <w:szCs w:val="24"/>
              </w:rPr>
              <w:t>54</w:t>
            </w:r>
          </w:p>
        </w:tc>
        <w:tc>
          <w:tcPr>
            <w:tcW w:w="3500" w:type="dxa"/>
          </w:tcPr>
          <w:p>
            <w:r>
              <w:rPr>
                <w:rFonts w:ascii="Arial" w:hAnsi="Arial" w:eastAsia="Arial" w:cs="Arial"/>
                <w:b w:val="0"/>
                <w:bCs w:val="0"/>
                <w:sz w:val="24"/>
                <w:szCs w:val="24"/>
              </w:rPr>
              <w:t>Unit Pengelola Program Studi mendeskripsikan pedoman yang mengatur kontribusi hasil luaran pengabdian kepada masyarakat untuk pengembangan ilmu pengetahuan, praktek dan profesional.
 (Indikator 74)</w:t>
            </w:r>
          </w:p>
        </w:tc>
        <w:tc>
          <w:tcPr>
            <w:tcW w:w="5700" w:type="dxa"/>
          </w:tcPr>
          <w:p>
            <w:r>
              <w:rPr>
                <w:rFonts w:ascii="Arial" w:hAnsi="Arial" w:eastAsia="Arial" w:cs="Arial"/>
                <w:b w:val="0"/>
                <w:bCs w:val="0"/>
                <w:sz w:val="24"/>
                <w:szCs w:val="24"/>
              </w:rPr>
              <w:t>Beberapa dokumen belum terpenuhi dan perlu diunggah.
Daftar dokumen yang perlu diunggah:
Luaran dan Capaian Tridharma
1) Dokumen hasil pembahasan kurikulum dengan semua pemangku kepentingan (pimpinan
UPPS, dosen PS, mahasiswa, alumni, industri).
2) Dokumen tracer study.
3) Dokumen pemanfaatan intelektual hasil dari penelitian dan PkM.
</w:t>
            </w:r>
          </w:p>
        </w:tc>
      </w:tr>
    </w:tbl>
    <w:p/>
    <w:p/>
    <w:p>
      <w:r>
        <w:br w:type="page"/>
      </w:r>
    </w:p>
    <w:p>
      <w:r>
        <w:rPr>
          <w:rFonts w:ascii="Arial" w:hAnsi="Arial" w:eastAsia="Arial" w:cs="Arial"/>
          <w:b/>
          <w:bCs/>
          <w:sz w:val="28"/>
          <w:szCs w:val="28"/>
        </w:rPr>
        <w:t>VII.   CAPAIAN KRITERIA MUTU</w:t>
      </w:r>
    </w:p>
    <w:p/>
    <w:tbl>
      <w:tblPr>
        <w:tblStyle w:val="9"/>
        <w:tblW w:w="0" w:type="auto"/>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80" w:type="dxa"/>
          <w:left w:w="80" w:type="dxa"/>
          <w:bottom w:w="80" w:type="dxa"/>
          <w:right w:w="80" w:type="dxa"/>
        </w:tblCellMar>
      </w:tblPr>
      <w:tblGrid>
        <w:gridCol w:w="3420"/>
        <w:gridCol w:w="1291"/>
        <w:gridCol w:w="2237"/>
        <w:gridCol w:w="223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rPr>
          <w:trHeight w:val="900" w:hRule="atLeast"/>
        </w:trPr>
        <w:tc>
          <w:tcPr>
            <w:tcW w:w="2000" w:type="dxa"/>
            <w:vAlign w:val="center"/>
          </w:tcPr>
          <w:p>
            <w:r>
              <w:rPr>
                <w:rFonts w:ascii="Arial" w:hAnsi="Arial" w:eastAsia="Arial" w:cs="Arial"/>
                <w:b/>
                <w:bCs/>
                <w:sz w:val="24"/>
                <w:szCs w:val="24"/>
              </w:rPr>
              <w:t>Elemen/Kriteria/Standar Mutu</w:t>
            </w:r>
          </w:p>
        </w:tc>
        <w:tc>
          <w:tcPr>
            <w:tcW w:w="2000" w:type="dxa"/>
            <w:vAlign w:val="center"/>
          </w:tcPr>
          <w:p>
            <w:r>
              <w:rPr>
                <w:rFonts w:ascii="Arial" w:hAnsi="Arial" w:eastAsia="Arial" w:cs="Arial"/>
                <w:b/>
                <w:bCs/>
                <w:sz w:val="24"/>
                <w:szCs w:val="24"/>
              </w:rPr>
              <w:t xml:space="preserve">Jumlah Indikator </w:t>
            </w:r>
          </w:p>
        </w:tc>
        <w:tc>
          <w:tcPr>
            <w:tcW w:w="5700" w:type="dxa"/>
            <w:vAlign w:val="center"/>
          </w:tcPr>
          <w:p>
            <w:r>
              <w:rPr>
                <w:rFonts w:ascii="Arial" w:hAnsi="Arial" w:eastAsia="Arial" w:cs="Arial"/>
                <w:b/>
                <w:bCs/>
                <w:sz w:val="24"/>
                <w:szCs w:val="24"/>
              </w:rPr>
              <w:t>Ketercapaian</w:t>
            </w:r>
          </w:p>
        </w:tc>
        <w:tc>
          <w:tcPr>
            <w:tcW w:w="5700" w:type="dxa"/>
            <w:vAlign w:val="center"/>
          </w:tcPr>
          <w:p>
            <w:r>
              <w:rPr>
                <w:rFonts w:ascii="Arial" w:hAnsi="Arial" w:eastAsia="Arial" w:cs="Arial"/>
                <w:b/>
                <w:bCs/>
                <w:sz w:val="24"/>
                <w:szCs w:val="24"/>
              </w:rPr>
              <w:t>Percentasi Ketercapaian</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1. Visi, Misi, Tujuan dan Strategi</w:t>
            </w:r>
          </w:p>
        </w:tc>
        <w:tc>
          <w:tcPr>
            <w:tcW w:w="100" w:type="dxa"/>
          </w:tcPr>
          <w:p>
            <w:r>
              <w:rPr>
                <w:rFonts w:ascii="Arial" w:hAnsi="Arial" w:eastAsia="Arial" w:cs="Arial"/>
                <w:b w:val="0"/>
                <w:bCs w:val="0"/>
                <w:sz w:val="24"/>
                <w:szCs w:val="24"/>
              </w:rPr>
              <w:t>8</w:t>
            </w:r>
          </w:p>
        </w:tc>
        <w:tc>
          <w:tcPr>
            <w:tcW w:w="100" w:type="dxa"/>
          </w:tcPr>
          <w:p>
            <w:r>
              <w:rPr>
                <w:rFonts w:ascii="Arial" w:hAnsi="Arial" w:eastAsia="Arial" w:cs="Arial"/>
                <w:b w:val="0"/>
                <w:bCs w:val="0"/>
                <w:sz w:val="24"/>
                <w:szCs w:val="24"/>
              </w:rPr>
              <w:t>8</w:t>
            </w:r>
          </w:p>
        </w:tc>
        <w:tc>
          <w:tcPr>
            <w:tcW w:w="100" w:type="dxa"/>
          </w:tcPr>
          <w:p>
            <w:r>
              <w:rPr>
                <w:rFonts w:ascii="Arial" w:hAnsi="Arial" w:eastAsia="Arial" w:cs="Arial"/>
                <w:b w:val="0"/>
                <w:bCs w:val="0"/>
                <w:sz w:val="24"/>
                <w:szCs w:val="24"/>
              </w:rPr>
              <w:t>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2. Tata Pamong, Tata Kelola dan Kerjasama</w:t>
            </w:r>
          </w:p>
        </w:tc>
        <w:tc>
          <w:tcPr>
            <w:tcW w:w="100" w:type="dxa"/>
          </w:tcPr>
          <w:p>
            <w:r>
              <w:rPr>
                <w:rFonts w:ascii="Arial" w:hAnsi="Arial" w:eastAsia="Arial" w:cs="Arial"/>
                <w:b w:val="0"/>
                <w:bCs w:val="0"/>
                <w:sz w:val="24"/>
                <w:szCs w:val="24"/>
              </w:rPr>
              <w:t>8</w:t>
            </w:r>
          </w:p>
        </w:tc>
        <w:tc>
          <w:tcPr>
            <w:tcW w:w="100" w:type="dxa"/>
          </w:tcPr>
          <w:p>
            <w:r>
              <w:rPr>
                <w:rFonts w:ascii="Arial" w:hAnsi="Arial" w:eastAsia="Arial" w:cs="Arial"/>
                <w:b w:val="0"/>
                <w:bCs w:val="0"/>
                <w:sz w:val="24"/>
                <w:szCs w:val="24"/>
              </w:rPr>
              <w:t>8</w:t>
            </w:r>
          </w:p>
        </w:tc>
        <w:tc>
          <w:tcPr>
            <w:tcW w:w="100" w:type="dxa"/>
          </w:tcPr>
          <w:p>
            <w:r>
              <w:rPr>
                <w:rFonts w:ascii="Arial" w:hAnsi="Arial" w:eastAsia="Arial" w:cs="Arial"/>
                <w:b w:val="0"/>
                <w:bCs w:val="0"/>
                <w:sz w:val="24"/>
                <w:szCs w:val="24"/>
              </w:rPr>
              <w:t>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3. Mahasiswa</w:t>
            </w:r>
          </w:p>
        </w:tc>
        <w:tc>
          <w:tcPr>
            <w:tcW w:w="100" w:type="dxa"/>
          </w:tcPr>
          <w:p>
            <w:r>
              <w:rPr>
                <w:rFonts w:ascii="Arial" w:hAnsi="Arial" w:eastAsia="Arial" w:cs="Arial"/>
                <w:b w:val="0"/>
                <w:bCs w:val="0"/>
                <w:sz w:val="24"/>
                <w:szCs w:val="24"/>
              </w:rPr>
              <w:t>10</w:t>
            </w:r>
          </w:p>
        </w:tc>
        <w:tc>
          <w:tcPr>
            <w:tcW w:w="100" w:type="dxa"/>
          </w:tcPr>
          <w:p>
            <w:r>
              <w:rPr>
                <w:rFonts w:ascii="Arial" w:hAnsi="Arial" w:eastAsia="Arial" w:cs="Arial"/>
                <w:b w:val="0"/>
                <w:bCs w:val="0"/>
                <w:sz w:val="24"/>
                <w:szCs w:val="24"/>
              </w:rPr>
              <w:t>10</w:t>
            </w:r>
          </w:p>
        </w:tc>
        <w:tc>
          <w:tcPr>
            <w:tcW w:w="100" w:type="dxa"/>
          </w:tcPr>
          <w:p>
            <w:r>
              <w:rPr>
                <w:rFonts w:ascii="Arial" w:hAnsi="Arial" w:eastAsia="Arial" w:cs="Arial"/>
                <w:b w:val="0"/>
                <w:bCs w:val="0"/>
                <w:sz w:val="24"/>
                <w:szCs w:val="24"/>
              </w:rPr>
              <w:t>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4. Sumber Daya Manusia</w:t>
            </w:r>
          </w:p>
        </w:tc>
        <w:tc>
          <w:tcPr>
            <w:tcW w:w="100" w:type="dxa"/>
          </w:tcPr>
          <w:p>
            <w:r>
              <w:rPr>
                <w:rFonts w:ascii="Arial" w:hAnsi="Arial" w:eastAsia="Arial" w:cs="Arial"/>
                <w:b w:val="0"/>
                <w:bCs w:val="0"/>
                <w:sz w:val="24"/>
                <w:szCs w:val="24"/>
              </w:rPr>
              <w:t>9</w:t>
            </w:r>
          </w:p>
        </w:tc>
        <w:tc>
          <w:tcPr>
            <w:tcW w:w="100" w:type="dxa"/>
          </w:tcPr>
          <w:p>
            <w:r>
              <w:rPr>
                <w:rFonts w:ascii="Arial" w:hAnsi="Arial" w:eastAsia="Arial" w:cs="Arial"/>
                <w:b w:val="0"/>
                <w:bCs w:val="0"/>
                <w:sz w:val="24"/>
                <w:szCs w:val="24"/>
              </w:rPr>
              <w:t>0</w:t>
            </w:r>
          </w:p>
        </w:tc>
        <w:tc>
          <w:tcPr>
            <w:tcW w:w="100" w:type="dxa"/>
          </w:tcPr>
          <w:p>
            <w:r>
              <w:rPr>
                <w:rFonts w:ascii="Arial" w:hAnsi="Arial" w:eastAsia="Arial" w:cs="Arial"/>
                <w:b w:val="0"/>
                <w:bCs w:val="0"/>
                <w:sz w:val="24"/>
                <w:szCs w:val="24"/>
              </w:rPr>
              <w:t>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5. Keuangan, Sarana dan Prasarana</w:t>
            </w:r>
          </w:p>
        </w:tc>
        <w:tc>
          <w:tcPr>
            <w:tcW w:w="100" w:type="dxa"/>
          </w:tcPr>
          <w:p>
            <w:r>
              <w:rPr>
                <w:rFonts w:ascii="Arial" w:hAnsi="Arial" w:eastAsia="Arial" w:cs="Arial"/>
                <w:b w:val="0"/>
                <w:bCs w:val="0"/>
                <w:sz w:val="24"/>
                <w:szCs w:val="24"/>
              </w:rPr>
              <w:t>4</w:t>
            </w:r>
          </w:p>
        </w:tc>
        <w:tc>
          <w:tcPr>
            <w:tcW w:w="100" w:type="dxa"/>
          </w:tcPr>
          <w:p>
            <w:r>
              <w:rPr>
                <w:rFonts w:ascii="Arial" w:hAnsi="Arial" w:eastAsia="Arial" w:cs="Arial"/>
                <w:b w:val="0"/>
                <w:bCs w:val="0"/>
                <w:sz w:val="24"/>
                <w:szCs w:val="24"/>
              </w:rPr>
              <w:t>4</w:t>
            </w:r>
          </w:p>
        </w:tc>
        <w:tc>
          <w:tcPr>
            <w:tcW w:w="100" w:type="dxa"/>
          </w:tcPr>
          <w:p>
            <w:r>
              <w:rPr>
                <w:rFonts w:ascii="Arial" w:hAnsi="Arial" w:eastAsia="Arial" w:cs="Arial"/>
                <w:b w:val="0"/>
                <w:bCs w:val="0"/>
                <w:sz w:val="24"/>
                <w:szCs w:val="24"/>
              </w:rPr>
              <w:t>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6. Pendidikan</w:t>
            </w:r>
          </w:p>
        </w:tc>
        <w:tc>
          <w:tcPr>
            <w:tcW w:w="100" w:type="dxa"/>
          </w:tcPr>
          <w:p>
            <w:r>
              <w:rPr>
                <w:rFonts w:ascii="Arial" w:hAnsi="Arial" w:eastAsia="Arial" w:cs="Arial"/>
                <w:b w:val="0"/>
                <w:bCs w:val="0"/>
                <w:sz w:val="24"/>
                <w:szCs w:val="24"/>
              </w:rPr>
              <w:t>6</w:t>
            </w:r>
          </w:p>
        </w:tc>
        <w:tc>
          <w:tcPr>
            <w:tcW w:w="100" w:type="dxa"/>
          </w:tcPr>
          <w:p>
            <w:r>
              <w:rPr>
                <w:rFonts w:ascii="Arial" w:hAnsi="Arial" w:eastAsia="Arial" w:cs="Arial"/>
                <w:b w:val="0"/>
                <w:bCs w:val="0"/>
                <w:sz w:val="24"/>
                <w:szCs w:val="24"/>
              </w:rPr>
              <w:t>0</w:t>
            </w:r>
          </w:p>
        </w:tc>
        <w:tc>
          <w:tcPr>
            <w:tcW w:w="100" w:type="dxa"/>
          </w:tcPr>
          <w:p>
            <w:r>
              <w:rPr>
                <w:rFonts w:ascii="Arial" w:hAnsi="Arial" w:eastAsia="Arial" w:cs="Arial"/>
                <w:b w:val="0"/>
                <w:bCs w:val="0"/>
                <w:sz w:val="24"/>
                <w:szCs w:val="24"/>
              </w:rPr>
              <w:t>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7. Penelitian</w:t>
            </w:r>
          </w:p>
        </w:tc>
        <w:tc>
          <w:tcPr>
            <w:tcW w:w="100" w:type="dxa"/>
          </w:tcPr>
          <w:p>
            <w:r>
              <w:rPr>
                <w:rFonts w:ascii="Arial" w:hAnsi="Arial" w:eastAsia="Arial" w:cs="Arial"/>
                <w:b w:val="0"/>
                <w:bCs w:val="0"/>
                <w:sz w:val="24"/>
                <w:szCs w:val="24"/>
              </w:rPr>
              <w:t>5</w:t>
            </w:r>
          </w:p>
        </w:tc>
        <w:tc>
          <w:tcPr>
            <w:tcW w:w="100" w:type="dxa"/>
          </w:tcPr>
          <w:p>
            <w:r>
              <w:rPr>
                <w:rFonts w:ascii="Arial" w:hAnsi="Arial" w:eastAsia="Arial" w:cs="Arial"/>
                <w:b w:val="0"/>
                <w:bCs w:val="0"/>
                <w:sz w:val="24"/>
                <w:szCs w:val="24"/>
              </w:rPr>
              <w:t>0</w:t>
            </w:r>
          </w:p>
        </w:tc>
        <w:tc>
          <w:tcPr>
            <w:tcW w:w="100" w:type="dxa"/>
          </w:tcPr>
          <w:p>
            <w:r>
              <w:rPr>
                <w:rFonts w:ascii="Arial" w:hAnsi="Arial" w:eastAsia="Arial" w:cs="Arial"/>
                <w:b w:val="0"/>
                <w:bCs w:val="0"/>
                <w:sz w:val="24"/>
                <w:szCs w:val="24"/>
              </w:rPr>
              <w:t>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8. Pengabdian kepada Masyarakat</w:t>
            </w:r>
          </w:p>
        </w:tc>
        <w:tc>
          <w:tcPr>
            <w:tcW w:w="100" w:type="dxa"/>
          </w:tcPr>
          <w:p>
            <w:r>
              <w:rPr>
                <w:rFonts w:ascii="Arial" w:hAnsi="Arial" w:eastAsia="Arial" w:cs="Arial"/>
                <w:b w:val="0"/>
                <w:bCs w:val="0"/>
                <w:sz w:val="24"/>
                <w:szCs w:val="24"/>
              </w:rPr>
              <w:t>5</w:t>
            </w:r>
          </w:p>
        </w:tc>
        <w:tc>
          <w:tcPr>
            <w:tcW w:w="100" w:type="dxa"/>
          </w:tcPr>
          <w:p>
            <w:r>
              <w:rPr>
                <w:rFonts w:ascii="Arial" w:hAnsi="Arial" w:eastAsia="Arial" w:cs="Arial"/>
                <w:b w:val="0"/>
                <w:bCs w:val="0"/>
                <w:sz w:val="24"/>
                <w:szCs w:val="24"/>
              </w:rPr>
              <w:t>5</w:t>
            </w:r>
          </w:p>
        </w:tc>
        <w:tc>
          <w:tcPr>
            <w:tcW w:w="100" w:type="dxa"/>
          </w:tcPr>
          <w:p>
            <w:r>
              <w:rPr>
                <w:rFonts w:ascii="Arial" w:hAnsi="Arial" w:eastAsia="Arial" w:cs="Arial"/>
                <w:b w:val="0"/>
                <w:bCs w:val="0"/>
                <w:sz w:val="24"/>
                <w:szCs w:val="24"/>
              </w:rPr>
              <w:t>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Ex>
        <w:tc>
          <w:tcPr>
            <w:tcW w:w="6700" w:type="dxa"/>
          </w:tcPr>
          <w:p>
            <w:r>
              <w:rPr>
                <w:rFonts w:ascii="Arial" w:hAnsi="Arial" w:eastAsia="Arial" w:cs="Arial"/>
                <w:b w:val="0"/>
                <w:bCs w:val="0"/>
                <w:sz w:val="24"/>
                <w:szCs w:val="24"/>
              </w:rPr>
              <w:t>9. Luaran dan Capaian Tridharma</w:t>
            </w:r>
          </w:p>
        </w:tc>
        <w:tc>
          <w:tcPr>
            <w:tcW w:w="100" w:type="dxa"/>
          </w:tcPr>
          <w:p>
            <w:r>
              <w:rPr>
                <w:rFonts w:ascii="Arial" w:hAnsi="Arial" w:eastAsia="Arial" w:cs="Arial"/>
                <w:b w:val="0"/>
                <w:bCs w:val="0"/>
                <w:sz w:val="24"/>
                <w:szCs w:val="24"/>
              </w:rPr>
              <w:t>19</w:t>
            </w:r>
          </w:p>
        </w:tc>
        <w:tc>
          <w:tcPr>
            <w:tcW w:w="100" w:type="dxa"/>
          </w:tcPr>
          <w:p>
            <w:r>
              <w:rPr>
                <w:rFonts w:ascii="Arial" w:hAnsi="Arial" w:eastAsia="Arial" w:cs="Arial"/>
                <w:b w:val="0"/>
                <w:bCs w:val="0"/>
                <w:sz w:val="24"/>
                <w:szCs w:val="24"/>
              </w:rPr>
              <w:t>19</w:t>
            </w:r>
          </w:p>
        </w:tc>
        <w:tc>
          <w:tcPr>
            <w:tcW w:w="100" w:type="dxa"/>
          </w:tcPr>
          <w:p>
            <w:r>
              <w:rPr>
                <w:rFonts w:ascii="Arial" w:hAnsi="Arial" w:eastAsia="Arial" w:cs="Arial"/>
                <w:b w:val="0"/>
                <w:bCs w:val="0"/>
                <w:sz w:val="24"/>
                <w:szCs w:val="24"/>
              </w:rPr>
              <w:t>100 %</w:t>
            </w:r>
          </w:p>
        </w:tc>
      </w:tr>
    </w:tbl>
    <w:p>
      <w:r>
        <w:br w:type="page"/>
      </w:r>
    </w:p>
    <w:p>
      <w:r>
        <w:rPr>
          <w:rFonts w:ascii="Arial" w:hAnsi="Arial" w:eastAsia="Arial" w:cs="Arial"/>
          <w:b/>
          <w:bCs/>
          <w:sz w:val="24"/>
          <w:szCs w:val="24"/>
        </w:rPr>
        <w:t>Persentase Ketercapaian Standar Mutu</w:t>
      </w:r>
    </w:p>
    <w:p/>
    <w:p>
      <w:r>
        <w:drawing>
          <wp:inline distT="0" distB="0" distL="114300" distR="114300">
            <wp:extent cx="4114800" cy="3657600"/>
            <wp:effectExtent l="0" t="0" r="0" b="0"/>
            <wp:docPr id="9" name="Chart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
        <w:rPr>
          <w:rFonts w:ascii="Arial" w:hAnsi="Arial" w:eastAsia="Arial" w:cs="Arial"/>
          <w:b/>
          <w:bCs/>
          <w:sz w:val="24"/>
          <w:szCs w:val="24"/>
        </w:rPr>
        <w:t>Grafik Ketercapaian Standar Mutu</w:t>
      </w:r>
    </w:p>
    <w:p>
      <w:r>
        <w:rPr>
          <w:rStyle w:val="7"/>
        </w:rPr>
        <w:t>Biru = Total Jumlah Indikator</w:t>
      </w:r>
    </w:p>
    <w:p>
      <w:r>
        <w:rPr>
          <w:rStyle w:val="7"/>
        </w:rPr>
        <w:t>Merah = Ketercapaian</w:t>
      </w:r>
    </w:p>
    <w:p/>
    <w:p>
      <w:pPr>
        <w:sectPr>
          <w:headerReference r:id="rId3" w:type="first"/>
          <w:pgSz w:w="11905" w:h="16837"/>
          <w:pgMar w:top="1440" w:right="1440" w:bottom="1440" w:left="1440" w:header="720" w:footer="720" w:gutter="0"/>
          <w:cols w:space="720" w:num="1"/>
          <w:titlePg/>
        </w:sectPr>
      </w:pPr>
    </w:p>
    <w:p>
      <w:pPr>
        <w:sectPr>
          <w:type w:val="continuous"/>
          <w:pgSz w:w="11905" w:h="16837"/>
          <w:pgMar w:top="1440" w:right="1440" w:bottom="1440" w:left="1440" w:header="720" w:footer="720" w:gutter="0"/>
          <w:cols w:space="720" w:num="1"/>
        </w:sectPr>
      </w:pPr>
    </w:p>
    <w:p>
      <w:r>
        <w:drawing>
          <wp:inline distT="0" distB="0" distL="114300" distR="114300">
            <wp:extent cx="3625850" cy="2743200"/>
            <wp:effectExtent l="0" t="0" r="12700" b="0"/>
            <wp:docPr id="10" name="Chart10"/>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sectPr>
      <w:type w:val="continuous"/>
      <w:pgSz w:w="11905" w:h="16837"/>
      <w:pgMar w:top="1440" w:right="1440" w:bottom="1440" w:left="1440" w:header="720" w:footer="720" w:gutter="0"/>
      <w:cols w:space="720" w:num="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swiss"/>
    <w:pitch w:val="default"/>
    <w:sig w:usb0="E0002EFF" w:usb1="C000785B" w:usb2="00000009" w:usb3="00000000" w:csb0="400001FF" w:csb1="FFFF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AF3359"/>
    <w:multiLevelType w:val="multilevel"/>
    <w:tmpl w:val="F7AF3359"/>
    <w:lvl w:ilvl="0" w:tentative="0">
      <w:start w:val="1"/>
      <w:numFmt w:val="decimal"/>
      <w:lvlText w:val=""/>
      <w:lvlJc w:val="left"/>
      <w:pPr>
        <w:tabs>
          <w:tab w:val="left" w:pos="360"/>
        </w:tabs>
        <w:ind w:left="360" w:hanging="360"/>
      </w:pPr>
    </w:lvl>
    <w:lvl w:ilvl="1" w:tentative="0">
      <w:start w:val="1"/>
      <w:numFmt w:val="lowerLetter"/>
      <w:lvlText w:val="%2."/>
      <w:lvlJc w:val="left"/>
      <w:pPr>
        <w:tabs>
          <w:tab w:val="left" w:pos="720"/>
        </w:tabs>
        <w:ind w:left="720" w:hanging="360"/>
      </w:pPr>
    </w:lvl>
  </w:abstractNum>
  <w:abstractNum w:abstractNumId="1">
    <w:nsid w:val="153AB66F"/>
    <w:multiLevelType w:val="multilevel"/>
    <w:tmpl w:val="153AB66F"/>
    <w:lvl w:ilvl="0" w:tentative="0">
      <w:start w:val="1"/>
      <w:numFmt w:val="decimal"/>
      <w:lvlText w:val=""/>
      <w:lvlJc w:val="left"/>
      <w:pPr>
        <w:tabs>
          <w:tab w:val="left" w:pos="360"/>
        </w:tabs>
        <w:ind w:left="360" w:hanging="360"/>
      </w:pPr>
    </w:lvl>
    <w:lvl w:ilvl="1" w:tentative="0">
      <w:start w:val="1"/>
      <w:numFmt w:val="decimal"/>
      <w:lvlText w:val="%2."/>
      <w:lvlJc w:val="left"/>
      <w:pPr>
        <w:tabs>
          <w:tab w:val="left" w:pos="720"/>
        </w:tabs>
        <w:ind w:left="720" w:hanging="360"/>
      </w:pPr>
    </w:lvl>
  </w:abstractNum>
  <w:abstractNum w:abstractNumId="2">
    <w:nsid w:val="7DA7E8A2"/>
    <w:multiLevelType w:val="multilevel"/>
    <w:tmpl w:val="7DA7E8A2"/>
    <w:lvl w:ilvl="0" w:tentative="0">
      <w:start w:val="1"/>
      <w:numFmt w:val="decimal"/>
      <w:lvlText w:val=""/>
      <w:lvlJc w:val="left"/>
      <w:pPr>
        <w:tabs>
          <w:tab w:val="left" w:pos="360"/>
        </w:tabs>
        <w:ind w:left="360" w:hanging="360"/>
      </w:pPr>
    </w:lvl>
    <w:lvl w:ilvl="1" w:tentative="0">
      <w:start w:val="1"/>
      <w:numFmt w:val="decimal"/>
      <w:lvlText w:val="%2."/>
      <w:lvlJc w:val="left"/>
      <w:pPr>
        <w:tabs>
          <w:tab w:val="left" w:pos="720"/>
        </w:tabs>
        <w:ind w:left="72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08"/>
  <w:hyphenationZone w:val="425"/>
  <w:characterSpacingControl w:val="doNotCompress"/>
  <w:compat>
    <w:compatSetting w:name="compatibilityMode" w:uri="http://schemas.microsoft.com/office/word" w:val="12"/>
  </w:compat>
  <w:rsids>
    <w:rsidRoot w:val="00000000"/>
    <w:rsid w:val="18406B5A"/>
    <w:rsid w:val="505432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rPr>
      <w:rFonts w:ascii="Arial" w:hAnsi="Arial" w:eastAsia="Arial" w:cs="Arial"/>
      <w:sz w:val="20"/>
      <w:szCs w:val="20"/>
      <w:lang w:val="en-US"/>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footnote reference"/>
    <w:semiHidden/>
    <w:unhideWhenUsed/>
    <w:uiPriority w:val="0"/>
    <w:rPr>
      <w:vertAlign w:val="superscript"/>
    </w:rPr>
  </w:style>
  <w:style w:type="table" w:customStyle="1" w:styleId="5">
    <w:name w:val="Colspan Rowspan"/>
    <w:uiPriority w:val="99"/>
    <w:tblPr>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3" w:type="dxa"/>
        <w:left w:w="3" w:type="dxa"/>
        <w:bottom w:w="3" w:type="dxa"/>
        <w:right w:w="3" w:type="dxa"/>
      </w:tblCellMar>
    </w:tblPr>
    <w:trPr>
      <w:jc w:val="center"/>
    </w:trPr>
  </w:style>
  <w:style w:type="character" w:customStyle="1" w:styleId="6">
    <w:name w:val="myOwnStyle"/>
    <w:uiPriority w:val="0"/>
    <w:rPr>
      <w:color w:val="FF0000"/>
    </w:rPr>
  </w:style>
  <w:style w:type="character" w:customStyle="1" w:styleId="7">
    <w:name w:val="arialSebelas"/>
    <w:uiPriority w:val="0"/>
    <w:rPr>
      <w:rFonts w:ascii="Arial" w:hAnsi="Arial" w:eastAsia="Arial" w:cs="Arial"/>
      <w:sz w:val="24"/>
      <w:szCs w:val="24"/>
    </w:rPr>
  </w:style>
  <w:style w:type="paragraph" w:customStyle="1" w:styleId="8">
    <w:name w:val="P-Style"/>
    <w:basedOn w:val="1"/>
    <w:uiPriority w:val="0"/>
    <w:pPr>
      <w:spacing w:after="95"/>
    </w:pPr>
  </w:style>
  <w:style w:type="table" w:customStyle="1" w:styleId="9">
    <w:name w:val="Fancy Table"/>
    <w:uiPriority w:val="9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80" w:type="dxa"/>
        <w:left w:w="80" w:type="dxa"/>
        <w:bottom w:w="80" w:type="dxa"/>
        <w:right w:w="80" w:type="dxa"/>
      </w:tblCellMar>
    </w:tblPr>
    <w:tblStylePr w:type="firstRow"/>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radarChart>
        <c:radarStyle val="marker"/>
        <c:varyColors val="0"/>
        <c:ser>
          <c:idx val="0"/>
          <c:order val="0"/>
          <c:dLbls>
            <c:numFmt formatCode="0.00%" sourceLinked="0"/>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{"1.","2.","3.","4.","5.","6.","7.","8.","9."}</c:f>
              <c:strCache>
                <c:ptCount val="9"/>
                <c:pt idx="0">
                  <c:v>1.</c:v>
                </c:pt>
                <c:pt idx="1">
                  <c:v>2.</c:v>
                </c:pt>
                <c:pt idx="2">
                  <c:v>3.</c:v>
                </c:pt>
                <c:pt idx="3">
                  <c:v>4.</c:v>
                </c:pt>
                <c:pt idx="4">
                  <c:v>5.</c:v>
                </c:pt>
                <c:pt idx="5">
                  <c:v>6.</c:v>
                </c:pt>
                <c:pt idx="6">
                  <c:v>7.</c:v>
                </c:pt>
                <c:pt idx="7">
                  <c:v>8.</c:v>
                </c:pt>
                <c:pt idx="8">
                  <c:v>9.</c:v>
                </c:pt>
              </c:strCache>
            </c:strRef>
          </c:cat>
          <c:val>
            <c:numRef>
              <c:f>{1,1,1,0,1,0,0,1,1}</c:f>
              <c:numCache>
                <c:formatCode>General</c:formatCode>
                <c:ptCount val="9"/>
                <c:pt idx="0">
                  <c:v>1</c:v>
                </c:pt>
                <c:pt idx="1">
                  <c:v>1</c:v>
                </c:pt>
                <c:pt idx="2">
                  <c:v>1</c:v>
                </c:pt>
                <c:pt idx="3">
                  <c:v>0</c:v>
                </c:pt>
                <c:pt idx="4">
                  <c:v>1</c:v>
                </c:pt>
                <c:pt idx="5">
                  <c:v>0</c:v>
                </c:pt>
                <c:pt idx="6">
                  <c:v>0</c:v>
                </c:pt>
                <c:pt idx="7">
                  <c:v>1</c:v>
                </c:pt>
                <c:pt idx="8">
                  <c:v>1</c:v>
                </c:pt>
              </c:numCache>
            </c:numRef>
          </c:val>
        </c:ser>
        <c:dLbls>
          <c:showLegendKey val="0"/>
          <c:showVal val="1"/>
          <c:showCatName val="1"/>
          <c:showSerName val="0"/>
          <c:showPercent val="0"/>
          <c:showBubbleSize val="0"/>
        </c:dLbls>
        <c:axId val="1"/>
        <c:axId val="2"/>
      </c:radarChart>
      <c:catAx>
        <c:axId val="1"/>
        <c:scaling>
          <c:orientation val="minMax"/>
        </c:scaling>
        <c:delete val="0"/>
        <c:axPos val="b"/>
        <c:majorGridlines/>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2"/>
        <c:crosses val="autoZero"/>
        <c:auto val="1"/>
        <c:lblAlgn val="ctr"/>
        <c:lblOffset val="100"/>
        <c:noMultiLvlLbl val="0"/>
      </c:catAx>
      <c:valAx>
        <c:axId val="2"/>
        <c:scaling>
          <c:orientation val="minMax"/>
        </c:scaling>
        <c:delete val="0"/>
        <c:axPos val="l"/>
        <c:majorGridlines/>
        <c:numFmt formatCode="General" sourceLinked="1"/>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
        <c:crosses val="autoZero"/>
        <c:crossBetween val="between"/>
      </c:valAx>
    </c:plotArea>
    <c:plotVisOnly val="1"/>
    <c:dispBlanksAs val="gap"/>
    <c:showDLblsOverMax val="0"/>
  </c:chart>
  <c:spPr>
    <a:ln w="9525" cap="flat" cmpd="sng" algn="ctr">
      <a:noFill/>
      <a:prstDash val="solid"/>
      <a:round/>
    </a:ln>
  </c:spPr>
  <c:txPr>
    <a:bodyPr/>
    <a:lstStyle/>
    <a:p>
      <a:pPr>
        <a:defRPr lang="en-US"/>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385288966725044"/>
          <c:y val="0.0509259259259259"/>
          <c:w val="0.759019264448336"/>
          <c:h val="0.898148148148148"/>
        </c:manualLayout>
      </c:layout>
      <c:barChart>
        <c:barDir val="col"/>
        <c:grouping val="cluster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{"1.","2.","3.","4.","5.","6.","7.","8.","9."}</c:f>
              <c:strCache>
                <c:ptCount val="9"/>
                <c:pt idx="0">
                  <c:v>1.</c:v>
                </c:pt>
                <c:pt idx="1">
                  <c:v>2.</c:v>
                </c:pt>
                <c:pt idx="2">
                  <c:v>3.</c:v>
                </c:pt>
                <c:pt idx="3">
                  <c:v>4.</c:v>
                </c:pt>
                <c:pt idx="4">
                  <c:v>5.</c:v>
                </c:pt>
                <c:pt idx="5">
                  <c:v>6.</c:v>
                </c:pt>
                <c:pt idx="6">
                  <c:v>7.</c:v>
                </c:pt>
                <c:pt idx="7">
                  <c:v>8.</c:v>
                </c:pt>
                <c:pt idx="8">
                  <c:v>9.</c:v>
                </c:pt>
              </c:strCache>
            </c:strRef>
          </c:cat>
          <c:val>
            <c:numRef>
              <c:f>{8,8,10,9,4,6,5,5,19}</c:f>
              <c:numCache>
                <c:formatCode>General</c:formatCode>
                <c:ptCount val="9"/>
                <c:pt idx="0">
                  <c:v>8</c:v>
                </c:pt>
                <c:pt idx="1">
                  <c:v>8</c:v>
                </c:pt>
                <c:pt idx="2">
                  <c:v>10</c:v>
                </c:pt>
                <c:pt idx="3">
                  <c:v>9</c:v>
                </c:pt>
                <c:pt idx="4">
                  <c:v>4</c:v>
                </c:pt>
                <c:pt idx="5">
                  <c:v>6</c:v>
                </c:pt>
                <c:pt idx="6">
                  <c:v>5</c:v>
                </c:pt>
                <c:pt idx="7">
                  <c:v>5</c:v>
                </c:pt>
                <c:pt idx="8">
                  <c:v>19</c:v>
                </c:pt>
              </c:numCache>
            </c:numRef>
          </c:val>
        </c:ser>
        <c:ser>
          <c:idx val="1"/>
          <c:order val="1"/>
          <c:invertIfNegative val="0"/>
          <c:dLbls>
            <c:spPr>
              <a:noFill/>
              <a:ln>
                <a:noFill/>
              </a:ln>
              <a:effectLst/>
            </c:spPr>
            <c:txPr>
              <a:bodyPr rot="0" spcFirstLastPara="0" vertOverflow="ellipsis" vert="horz" wrap="square" lIns="38100" tIns="19050" rIns="38100" bIns="19050" anchor="ctr" anchorCtr="1"/>
              <a:lstStyle/>
              <a:p>
                <a:pPr>
                  <a:defRPr lang="en-US" sz="1000" b="0" i="0" u="none" strike="noStrike" kern="1200" baseline="0">
                    <a:solidFill>
                      <a:schemeClr val="tx1"/>
                    </a:solidFill>
                    <a:latin typeface="+mn-lt"/>
                    <a:ea typeface="+mn-ea"/>
                    <a:cs typeface="+mn-cs"/>
                  </a:defRPr>
                </a:pPr>
              </a:p>
            </c:txPr>
            <c:dLblPos val="outEnd"/>
            <c:showLegendKey val="0"/>
            <c:showVal val="1"/>
            <c:showCatName val="1"/>
            <c:showSerName val="0"/>
            <c:showPercent val="0"/>
            <c:showBubbleSize val="0"/>
            <c:showLeaderLines val="0"/>
            <c:extLst>
              <c:ext xmlns:c15="http://schemas.microsoft.com/office/drawing/2012/chart" uri="{CE6537A1-D6FC-4f65-9D91-7224C49458BB}">
                <c15:layout/>
                <c15:showLeaderLines val="0"/>
                <c15:leaderLines/>
              </c:ext>
            </c:extLst>
          </c:dLbls>
          <c:cat>
            <c:strRef>
              <c:f>{"1. Visi, Misi, Tujuan dan Strategi","2. Tata Pamong, Tata Kelola dan Kerjasama","3. Mahasiswa","4. Sumber Daya Manusia","5. Keuangan, Sarana dan Prasarana","6. Pendidikan","7. Penelitian","8. Pengabdian kepada Masyarakat","9. Luaran dan Capaian Tridharma"}</c:f>
              <c:strCache>
                <c:ptCount val="9"/>
                <c:pt idx="0">
                  <c:v>1.</c:v>
                </c:pt>
                <c:pt idx="1">
                  <c:v>2.</c:v>
                </c:pt>
                <c:pt idx="2">
                  <c:v>3.</c:v>
                </c:pt>
                <c:pt idx="3">
                  <c:v>4.</c:v>
                </c:pt>
                <c:pt idx="4">
                  <c:v>5.</c:v>
                </c:pt>
                <c:pt idx="5">
                  <c:v>6.</c:v>
                </c:pt>
                <c:pt idx="6">
                  <c:v>7.</c:v>
                </c:pt>
                <c:pt idx="7">
                  <c:v>8.</c:v>
                </c:pt>
                <c:pt idx="8">
                  <c:v>9.</c:v>
                </c:pt>
              </c:strCache>
            </c:strRef>
          </c:cat>
          <c:val>
            <c:numRef>
              <c:f>{8,8,10,0,4,0,0,5,19}</c:f>
              <c:numCache>
                <c:formatCode>General</c:formatCode>
                <c:ptCount val="9"/>
                <c:pt idx="0">
                  <c:v>8</c:v>
                </c:pt>
                <c:pt idx="1">
                  <c:v>8</c:v>
                </c:pt>
                <c:pt idx="2">
                  <c:v>10</c:v>
                </c:pt>
                <c:pt idx="3">
                  <c:v>0</c:v>
                </c:pt>
                <c:pt idx="4">
                  <c:v>4</c:v>
                </c:pt>
                <c:pt idx="5">
                  <c:v>0</c:v>
                </c:pt>
                <c:pt idx="6">
                  <c:v>0</c:v>
                </c:pt>
                <c:pt idx="7">
                  <c:v>5</c:v>
                </c:pt>
                <c:pt idx="8">
                  <c:v>19</c:v>
                </c:pt>
              </c:numCache>
            </c:numRef>
          </c:val>
        </c:ser>
        <c:dLbls>
          <c:showLegendKey val="0"/>
          <c:showVal val="1"/>
          <c:showCatName val="1"/>
          <c:showSerName val="0"/>
          <c:showPercent val="0"/>
          <c:showBubbleSize val="0"/>
        </c:dLbls>
        <c:gapWidth val="150"/>
        <c:overlap val="100"/>
        <c:axId val="1"/>
        <c:axId val="2"/>
      </c:barChart>
      <c:catAx>
        <c:axId val="1"/>
        <c:scaling>
          <c:orientation val="minMax"/>
        </c:scaling>
        <c:delete val="0"/>
        <c:axPos val="b"/>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2"/>
        <c:crosses val="autoZero"/>
        <c:auto val="1"/>
        <c:lblAlgn val="ctr"/>
        <c:lblOffset val="100"/>
        <c:noMultiLvlLbl val="0"/>
      </c:catAx>
      <c:valAx>
        <c:axId val="2"/>
        <c:scaling>
          <c:orientation val="minMax"/>
        </c:scaling>
        <c:delete val="0"/>
        <c:axPos val="l"/>
        <c:numFmt formatCode="General" sourceLinked="1"/>
        <c:majorTickMark val="none"/>
        <c:minorTickMark val="none"/>
        <c:tickLblPos val="none"/>
        <c:spPr>
          <a:ln w="9525" cap="flat" cmpd="sng" algn="ctr">
            <a:solidFill>
              <a:srgbClr val="FFFFFF"/>
            </a:solid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p>
        </c:txPr>
        <c:crossAx val="1"/>
        <c:crosses val="autoZero"/>
        <c:crossBetween val="between"/>
      </c:valAx>
    </c:plotArea>
    <c:plotVisOnly val="1"/>
    <c:dispBlanksAs val="gap"/>
    <c:showDLblsOverMax val="0"/>
  </c:chart>
  <c:spPr>
    <a:ln w="9525" cap="flat" cmpd="sng" algn="ctr">
      <a:noFill/>
      <a:prstDash val="solid"/>
      <a:round/>
    </a:ln>
  </c:spPr>
  <c:txPr>
    <a:bodyPr/>
    <a:lstStyle/>
    <a:p>
      <a:pPr>
        <a:defRPr lang="en-US"/>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Office_12.2.0.13359_F1E327BC-269C-435d-A152-05C5408002CA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2024-01-10T04:44:00Z</dcterms:created>
  <dc:creator>pc</dc:creator>
  <cp:lastModifiedBy>Fakultas Ekonomi dan Bisnis UP</cp:lastModifiedBy>
  <cp:lastPrinted>2024-01-10T05:14:00Z</cp:lastPrinted>
  <dcterms:modified xsi:type="dcterms:W3CDTF">2024-01-10T05:25:42Z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1033-12.2.0.13359</vt:lpwstr>
  </property>
  <property fmtid="{D5CDD505-2E9C-101B-9397-08002B2CF9AE}" pid="3" name="ICV">
    <vt:lpwstr>D0F4B0F910914F91BBBFEFDFA1B3F3DD_12</vt:lpwstr>
  </property>
</Properties>
</file>