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C6F68" w14:textId="2429FC6C" w:rsidR="0061551C" w:rsidRDefault="00D34087" w:rsidP="0061551C">
      <w:pPr>
        <w:pStyle w:val="BodyText"/>
        <w:spacing w:line="240" w:lineRule="auto"/>
        <w:jc w:val="center"/>
        <w:rPr>
          <w:rFonts w:ascii="Book Antiqua" w:hAnsi="Book Antiqua" w:cs="Arial"/>
          <w:b/>
          <w:sz w:val="28"/>
          <w:szCs w:val="28"/>
        </w:rPr>
      </w:pPr>
      <w:bookmarkStart w:id="0" w:name="_Hlk176276553"/>
      <w:r w:rsidRPr="00DA167C">
        <w:rPr>
          <w:rFonts w:ascii="Book Antiqua" w:hAnsi="Book Antiqua" w:cs="Arial"/>
          <w:b/>
          <w:sz w:val="28"/>
          <w:szCs w:val="28"/>
        </w:rPr>
        <w:t>Development of Learning Media Using Livewire Application</w:t>
      </w:r>
      <w:r w:rsidR="0061551C">
        <w:rPr>
          <w:rFonts w:ascii="Book Antiqua" w:hAnsi="Book Antiqua" w:cs="Arial"/>
          <w:b/>
          <w:sz w:val="28"/>
          <w:szCs w:val="28"/>
        </w:rPr>
        <w:t xml:space="preserve"> </w:t>
      </w:r>
      <w:r w:rsidRPr="00DA167C">
        <w:rPr>
          <w:rFonts w:ascii="Book Antiqua" w:hAnsi="Book Antiqua" w:cs="Arial"/>
          <w:b/>
          <w:sz w:val="28"/>
          <w:szCs w:val="28"/>
        </w:rPr>
        <w:t xml:space="preserve">and Printed Circuit Board Wizard in Electronic </w:t>
      </w:r>
    </w:p>
    <w:p w14:paraId="0C557229" w14:textId="6324CD14" w:rsidR="00D34087" w:rsidRPr="00DA167C" w:rsidRDefault="00D34087" w:rsidP="0061551C">
      <w:pPr>
        <w:pStyle w:val="BodyText"/>
        <w:spacing w:line="240" w:lineRule="auto"/>
        <w:jc w:val="center"/>
        <w:rPr>
          <w:rFonts w:ascii="Book Antiqua" w:hAnsi="Book Antiqua" w:cs="Arial"/>
          <w:b/>
          <w:sz w:val="28"/>
          <w:szCs w:val="28"/>
        </w:rPr>
      </w:pPr>
      <w:r w:rsidRPr="00DA167C">
        <w:rPr>
          <w:rFonts w:ascii="Book Antiqua" w:hAnsi="Book Antiqua" w:cs="Arial"/>
          <w:b/>
          <w:sz w:val="28"/>
          <w:szCs w:val="28"/>
        </w:rPr>
        <w:t>Circuit Application Subject</w:t>
      </w:r>
      <w:bookmarkEnd w:id="0"/>
    </w:p>
    <w:p w14:paraId="6D662152" w14:textId="77777777" w:rsidR="003E1F50" w:rsidRDefault="003E1F50" w:rsidP="00EA2995">
      <w:pPr>
        <w:spacing w:after="0" w:line="240" w:lineRule="auto"/>
        <w:jc w:val="center"/>
        <w:rPr>
          <w:rFonts w:ascii="Book Antiqua" w:hAnsi="Book Antiqua" w:cs="Arial"/>
          <w:b/>
          <w:sz w:val="24"/>
          <w:szCs w:val="24"/>
        </w:rPr>
      </w:pPr>
    </w:p>
    <w:p w14:paraId="253E6F48" w14:textId="77777777" w:rsidR="003E1F50" w:rsidRDefault="00DA167C" w:rsidP="003E1F50">
      <w:pPr>
        <w:spacing w:after="0" w:line="240" w:lineRule="auto"/>
        <w:jc w:val="center"/>
        <w:rPr>
          <w:rFonts w:ascii="Book Antiqua" w:hAnsi="Book Antiqua" w:cs="Arial"/>
          <w:b/>
          <w:sz w:val="24"/>
          <w:szCs w:val="24"/>
          <w:vertAlign w:val="superscript"/>
        </w:rPr>
      </w:pPr>
      <w:r>
        <w:rPr>
          <w:rFonts w:ascii="Book Antiqua" w:hAnsi="Book Antiqua" w:cs="Arial"/>
          <w:b/>
          <w:sz w:val="24"/>
          <w:szCs w:val="24"/>
        </w:rPr>
        <w:t>Diana Dewi</w:t>
      </w:r>
      <w:r w:rsidR="00471531" w:rsidRPr="00053BA9">
        <w:rPr>
          <w:rFonts w:ascii="Book Antiqua" w:hAnsi="Book Antiqua" w:cs="Arial"/>
          <w:b/>
          <w:sz w:val="24"/>
          <w:szCs w:val="24"/>
          <w:vertAlign w:val="superscript"/>
        </w:rPr>
        <w:t>1</w:t>
      </w:r>
      <w:r w:rsidR="00471531" w:rsidRPr="00053BA9">
        <w:rPr>
          <w:rFonts w:ascii="Book Antiqua" w:hAnsi="Book Antiqua" w:cs="Arial"/>
          <w:b/>
          <w:sz w:val="24"/>
          <w:szCs w:val="24"/>
        </w:rPr>
        <w:t xml:space="preserve">, </w:t>
      </w:r>
      <w:r>
        <w:rPr>
          <w:rFonts w:ascii="Book Antiqua" w:hAnsi="Book Antiqua" w:cs="Arial"/>
          <w:b/>
          <w:sz w:val="24"/>
          <w:szCs w:val="24"/>
        </w:rPr>
        <w:t>Tri Widayatsih</w:t>
      </w:r>
      <w:r w:rsidR="00471531" w:rsidRPr="00053BA9">
        <w:rPr>
          <w:rFonts w:ascii="Book Antiqua" w:hAnsi="Book Antiqua" w:cs="Arial"/>
          <w:b/>
          <w:sz w:val="24"/>
          <w:szCs w:val="24"/>
          <w:vertAlign w:val="superscript"/>
        </w:rPr>
        <w:t>2</w:t>
      </w:r>
      <w:r w:rsidR="00471531" w:rsidRPr="00053BA9">
        <w:rPr>
          <w:rFonts w:ascii="Book Antiqua" w:hAnsi="Book Antiqua" w:cs="Arial"/>
          <w:b/>
          <w:sz w:val="24"/>
          <w:szCs w:val="24"/>
        </w:rPr>
        <w:t xml:space="preserve">, </w:t>
      </w:r>
      <w:r>
        <w:rPr>
          <w:rFonts w:ascii="Book Antiqua" w:hAnsi="Book Antiqua" w:cs="Arial"/>
          <w:b/>
          <w:sz w:val="24"/>
          <w:szCs w:val="24"/>
        </w:rPr>
        <w:t xml:space="preserve">Muhammad </w:t>
      </w:r>
      <w:proofErr w:type="spellStart"/>
      <w:r>
        <w:rPr>
          <w:rFonts w:ascii="Book Antiqua" w:hAnsi="Book Antiqua" w:cs="Arial"/>
          <w:b/>
          <w:sz w:val="24"/>
          <w:szCs w:val="24"/>
        </w:rPr>
        <w:t>Juliansyah</w:t>
      </w:r>
      <w:proofErr w:type="spellEnd"/>
      <w:r>
        <w:rPr>
          <w:rFonts w:ascii="Book Antiqua" w:hAnsi="Book Antiqua" w:cs="Arial"/>
          <w:b/>
          <w:sz w:val="24"/>
          <w:szCs w:val="24"/>
        </w:rPr>
        <w:t xml:space="preserve"> Putra</w:t>
      </w:r>
      <w:r w:rsidR="00471531" w:rsidRPr="00053BA9">
        <w:rPr>
          <w:rFonts w:ascii="Book Antiqua" w:hAnsi="Book Antiqua" w:cs="Arial"/>
          <w:b/>
          <w:sz w:val="24"/>
          <w:szCs w:val="24"/>
          <w:vertAlign w:val="superscript"/>
        </w:rPr>
        <w:t>2</w:t>
      </w:r>
    </w:p>
    <w:p w14:paraId="638722B6" w14:textId="2940A815" w:rsidR="003E1F50" w:rsidRDefault="00471531" w:rsidP="003E1F50">
      <w:pPr>
        <w:spacing w:after="0" w:line="240" w:lineRule="auto"/>
        <w:jc w:val="center"/>
        <w:rPr>
          <w:rFonts w:ascii="Book Antiqua" w:hAnsi="Book Antiqua" w:cs="Arial"/>
          <w:b/>
          <w:sz w:val="24"/>
          <w:szCs w:val="24"/>
        </w:rPr>
      </w:pPr>
      <w:r w:rsidRPr="00DE3804">
        <w:rPr>
          <w:rFonts w:ascii="Book Antiqua" w:hAnsi="Book Antiqua"/>
          <w:bCs/>
          <w:sz w:val="24"/>
          <w:szCs w:val="24"/>
          <w:vertAlign w:val="superscript"/>
        </w:rPr>
        <w:t>1</w:t>
      </w:r>
      <w:r w:rsidR="00DA167C">
        <w:rPr>
          <w:rFonts w:ascii="Book Antiqua" w:hAnsi="Book Antiqua" w:cs="Arial"/>
          <w:bCs/>
          <w:sz w:val="24"/>
          <w:szCs w:val="24"/>
        </w:rPr>
        <w:t xml:space="preserve">SMK Negeri 2 </w:t>
      </w:r>
      <w:proofErr w:type="spellStart"/>
      <w:r w:rsidR="00DA167C">
        <w:rPr>
          <w:rFonts w:ascii="Book Antiqua" w:hAnsi="Book Antiqua" w:cs="Arial"/>
          <w:bCs/>
          <w:sz w:val="24"/>
          <w:szCs w:val="24"/>
        </w:rPr>
        <w:t>Kayuagung</w:t>
      </w:r>
      <w:proofErr w:type="spellEnd"/>
      <w:r>
        <w:rPr>
          <w:rFonts w:ascii="Book Antiqua" w:hAnsi="Book Antiqua" w:cs="Arial"/>
          <w:bCs/>
          <w:sz w:val="24"/>
          <w:szCs w:val="24"/>
        </w:rPr>
        <w:t>,</w:t>
      </w:r>
      <w:r w:rsidR="00512BD8">
        <w:rPr>
          <w:rFonts w:ascii="Book Antiqua" w:hAnsi="Book Antiqua" w:cs="Arial"/>
          <w:bCs/>
          <w:sz w:val="24"/>
          <w:szCs w:val="24"/>
        </w:rPr>
        <w:t xml:space="preserve"> South Sumatra, Indonesia,</w:t>
      </w:r>
      <w:r w:rsidRPr="00DE3804">
        <w:rPr>
          <w:rFonts w:ascii="Book Antiqua" w:hAnsi="Book Antiqua" w:cs="Arial"/>
          <w:bCs/>
          <w:sz w:val="24"/>
          <w:szCs w:val="24"/>
        </w:rPr>
        <w:t xml:space="preserve"> </w:t>
      </w:r>
      <w:r w:rsidRPr="00DE3804">
        <w:rPr>
          <w:rFonts w:ascii="Book Antiqua" w:hAnsi="Book Antiqua"/>
          <w:sz w:val="24"/>
          <w:szCs w:val="24"/>
          <w:vertAlign w:val="superscript"/>
        </w:rPr>
        <w:t>2</w:t>
      </w:r>
      <w:r w:rsidRPr="00DE3804">
        <w:rPr>
          <w:rFonts w:ascii="Book Antiqua" w:hAnsi="Book Antiqua"/>
          <w:bCs/>
          <w:sz w:val="24"/>
          <w:szCs w:val="24"/>
        </w:rPr>
        <w:t>Univer</w:t>
      </w:r>
      <w:r w:rsidR="00487647">
        <w:rPr>
          <w:rFonts w:ascii="Book Antiqua" w:hAnsi="Book Antiqua"/>
          <w:bCs/>
          <w:sz w:val="24"/>
          <w:szCs w:val="24"/>
        </w:rPr>
        <w:t>s</w:t>
      </w:r>
      <w:r w:rsidRPr="00DE3804">
        <w:rPr>
          <w:rFonts w:ascii="Book Antiqua" w:hAnsi="Book Antiqua"/>
          <w:bCs/>
          <w:sz w:val="24"/>
          <w:szCs w:val="24"/>
        </w:rPr>
        <w:t xml:space="preserve">itas </w:t>
      </w:r>
      <w:r w:rsidRPr="00DE3804">
        <w:rPr>
          <w:rFonts w:ascii="Book Antiqua" w:hAnsi="Book Antiqua"/>
          <w:bCs/>
          <w:sz w:val="24"/>
          <w:szCs w:val="24"/>
          <w:lang w:val="en-ID"/>
        </w:rPr>
        <w:t>PGRI Palembang</w:t>
      </w:r>
      <w:r>
        <w:rPr>
          <w:rFonts w:ascii="Book Antiqua" w:hAnsi="Book Antiqua"/>
          <w:bCs/>
          <w:sz w:val="24"/>
          <w:szCs w:val="24"/>
          <w:lang w:val="en-ID"/>
        </w:rPr>
        <w:t>,</w:t>
      </w:r>
      <w:r w:rsidRPr="00DE3804">
        <w:rPr>
          <w:rFonts w:ascii="Book Antiqua" w:hAnsi="Book Antiqua"/>
          <w:bCs/>
          <w:sz w:val="24"/>
          <w:szCs w:val="24"/>
          <w:lang w:val="en-ID"/>
        </w:rPr>
        <w:t xml:space="preserve"> </w:t>
      </w:r>
      <w:r w:rsidR="00512BD8">
        <w:rPr>
          <w:rFonts w:ascii="Book Antiqua" w:hAnsi="Book Antiqua" w:cs="Arial"/>
          <w:bCs/>
          <w:sz w:val="24"/>
          <w:szCs w:val="24"/>
        </w:rPr>
        <w:t xml:space="preserve">South Sumatra, </w:t>
      </w:r>
      <w:r w:rsidRPr="00DE3804">
        <w:rPr>
          <w:rFonts w:ascii="Book Antiqua" w:hAnsi="Book Antiqua"/>
          <w:bCs/>
          <w:sz w:val="24"/>
          <w:szCs w:val="24"/>
          <w:lang w:val="en-ID"/>
        </w:rPr>
        <w:t>Indonesia</w:t>
      </w:r>
    </w:p>
    <w:p w14:paraId="34C91B38" w14:textId="77777777" w:rsidR="003E1F50" w:rsidRDefault="003E1F50" w:rsidP="003E1F50">
      <w:pPr>
        <w:spacing w:after="0" w:line="240" w:lineRule="auto"/>
        <w:jc w:val="center"/>
        <w:rPr>
          <w:rFonts w:ascii="Book Antiqua" w:hAnsi="Book Antiqua" w:cs="Arial"/>
          <w:b/>
          <w:sz w:val="24"/>
          <w:szCs w:val="24"/>
        </w:rPr>
      </w:pPr>
    </w:p>
    <w:p w14:paraId="5D146EBA" w14:textId="77777777" w:rsidR="003E1F50" w:rsidRDefault="00471531" w:rsidP="003E1F50">
      <w:pPr>
        <w:spacing w:after="0" w:line="240" w:lineRule="auto"/>
        <w:jc w:val="center"/>
        <w:rPr>
          <w:rFonts w:ascii="Book Antiqua" w:hAnsi="Book Antiqua" w:cs="Arial"/>
          <w:b/>
          <w:sz w:val="24"/>
          <w:szCs w:val="24"/>
        </w:rPr>
      </w:pPr>
      <w:r w:rsidRPr="00DE3804">
        <w:rPr>
          <w:rFonts w:ascii="Book Antiqua" w:hAnsi="Book Antiqua"/>
          <w:sz w:val="24"/>
          <w:szCs w:val="24"/>
        </w:rPr>
        <w:t>Corresponding author e</w:t>
      </w:r>
      <w:r w:rsidR="00857669">
        <w:rPr>
          <w:rFonts w:ascii="Book Antiqua" w:hAnsi="Book Antiqua"/>
          <w:sz w:val="24"/>
          <w:szCs w:val="24"/>
        </w:rPr>
        <w:t>-</w:t>
      </w:r>
      <w:r w:rsidRPr="00DE3804">
        <w:rPr>
          <w:rFonts w:ascii="Book Antiqua" w:hAnsi="Book Antiqua"/>
          <w:sz w:val="24"/>
          <w:szCs w:val="24"/>
        </w:rPr>
        <w:t xml:space="preserve">mail: </w:t>
      </w:r>
      <w:hyperlink r:id="rId9" w:history="1">
        <w:r w:rsidR="00366BCF" w:rsidRPr="00FE7B12">
          <w:rPr>
            <w:rStyle w:val="Hyperlink"/>
            <w:rFonts w:ascii="Book Antiqua" w:hAnsi="Book Antiqua"/>
            <w:sz w:val="24"/>
            <w:szCs w:val="24"/>
          </w:rPr>
          <w:t>dinde754@gmail.com</w:t>
        </w:r>
      </w:hyperlink>
    </w:p>
    <w:p w14:paraId="431C441B" w14:textId="77777777" w:rsidR="003E1F50" w:rsidRDefault="003E1F50" w:rsidP="003E1F50">
      <w:pPr>
        <w:spacing w:after="0" w:line="240" w:lineRule="auto"/>
        <w:jc w:val="center"/>
        <w:rPr>
          <w:rFonts w:ascii="Book Antiqua" w:hAnsi="Book Antiqua" w:cs="Arial"/>
          <w:b/>
          <w:sz w:val="24"/>
          <w:szCs w:val="24"/>
        </w:rPr>
      </w:pPr>
    </w:p>
    <w:p w14:paraId="32942EE4" w14:textId="01CC69DA" w:rsidR="006A0378" w:rsidRPr="003E1F50" w:rsidRDefault="00471531" w:rsidP="003E1F50">
      <w:pPr>
        <w:spacing w:after="0" w:line="240" w:lineRule="auto"/>
        <w:jc w:val="center"/>
        <w:rPr>
          <w:rFonts w:ascii="Book Antiqua" w:hAnsi="Book Antiqua" w:cs="Arial"/>
          <w:b/>
          <w:sz w:val="24"/>
          <w:szCs w:val="24"/>
        </w:rPr>
      </w:pPr>
      <w:r w:rsidRPr="00DE3804">
        <w:rPr>
          <w:rFonts w:ascii="Book Antiqua" w:hAnsi="Book Antiqua"/>
          <w:sz w:val="24"/>
          <w:szCs w:val="24"/>
        </w:rPr>
        <w:t xml:space="preserve">Article History: Received on </w:t>
      </w:r>
      <w:r w:rsidR="00A716DF">
        <w:rPr>
          <w:rFonts w:ascii="Book Antiqua" w:hAnsi="Book Antiqua"/>
          <w:sz w:val="24"/>
          <w:szCs w:val="24"/>
        </w:rPr>
        <w:t>2</w:t>
      </w:r>
      <w:r w:rsidRPr="00DE3804">
        <w:rPr>
          <w:rFonts w:ascii="Book Antiqua" w:hAnsi="Book Antiqua"/>
          <w:sz w:val="24"/>
          <w:szCs w:val="24"/>
        </w:rPr>
        <w:t xml:space="preserve"> </w:t>
      </w:r>
      <w:r w:rsidR="00A716DF">
        <w:rPr>
          <w:rFonts w:ascii="Book Antiqua" w:hAnsi="Book Antiqua"/>
          <w:sz w:val="24"/>
          <w:szCs w:val="24"/>
        </w:rPr>
        <w:t>September</w:t>
      </w:r>
      <w:r w:rsidRPr="00DE3804">
        <w:rPr>
          <w:rFonts w:ascii="Book Antiqua" w:hAnsi="Book Antiqua"/>
          <w:sz w:val="24"/>
          <w:szCs w:val="24"/>
        </w:rPr>
        <w:t xml:space="preserve"> 202</w:t>
      </w:r>
      <w:r w:rsidR="00512BD8">
        <w:rPr>
          <w:rFonts w:ascii="Book Antiqua" w:hAnsi="Book Antiqua"/>
          <w:sz w:val="24"/>
          <w:szCs w:val="24"/>
        </w:rPr>
        <w:t>4</w:t>
      </w:r>
      <w:r>
        <w:rPr>
          <w:rFonts w:ascii="Book Antiqua" w:hAnsi="Book Antiqua"/>
          <w:sz w:val="24"/>
          <w:szCs w:val="24"/>
        </w:rPr>
        <w:t>,</w:t>
      </w:r>
      <w:r w:rsidRPr="00DE3804">
        <w:rPr>
          <w:rFonts w:ascii="Book Antiqua" w:hAnsi="Book Antiqua"/>
          <w:sz w:val="24"/>
          <w:szCs w:val="24"/>
        </w:rPr>
        <w:t xml:space="preserve"> Revised on </w:t>
      </w:r>
      <w:r w:rsidR="00A716DF">
        <w:rPr>
          <w:rFonts w:ascii="Book Antiqua" w:hAnsi="Book Antiqua"/>
          <w:sz w:val="24"/>
          <w:szCs w:val="24"/>
        </w:rPr>
        <w:t>5</w:t>
      </w:r>
      <w:r w:rsidRPr="00DE3804">
        <w:rPr>
          <w:rFonts w:ascii="Book Antiqua" w:hAnsi="Book Antiqua"/>
          <w:sz w:val="24"/>
          <w:szCs w:val="24"/>
        </w:rPr>
        <w:t xml:space="preserve"> </w:t>
      </w:r>
      <w:r w:rsidR="00A716DF">
        <w:rPr>
          <w:rFonts w:ascii="Book Antiqua" w:hAnsi="Book Antiqua"/>
          <w:sz w:val="24"/>
          <w:szCs w:val="24"/>
        </w:rPr>
        <w:t>December</w:t>
      </w:r>
      <w:r w:rsidRPr="00DE3804">
        <w:rPr>
          <w:rFonts w:ascii="Book Antiqua" w:hAnsi="Book Antiqua"/>
          <w:sz w:val="24"/>
          <w:szCs w:val="24"/>
        </w:rPr>
        <w:t xml:space="preserve"> 202</w:t>
      </w:r>
      <w:r w:rsidR="00512BD8">
        <w:rPr>
          <w:rFonts w:ascii="Book Antiqua" w:hAnsi="Book Antiqua"/>
          <w:sz w:val="24"/>
          <w:szCs w:val="24"/>
        </w:rPr>
        <w:t>4</w:t>
      </w:r>
      <w:r w:rsidR="003E1F50">
        <w:rPr>
          <w:rFonts w:ascii="Book Antiqua" w:hAnsi="Book Antiqua"/>
          <w:sz w:val="24"/>
          <w:szCs w:val="24"/>
        </w:rPr>
        <w:t>,</w:t>
      </w:r>
    </w:p>
    <w:p w14:paraId="79D7AC81" w14:textId="5E568DF5" w:rsidR="006A0378" w:rsidRPr="00DE3804" w:rsidRDefault="00471531" w:rsidP="00EA2995">
      <w:pPr>
        <w:autoSpaceDE w:val="0"/>
        <w:autoSpaceDN w:val="0"/>
        <w:adjustRightInd w:val="0"/>
        <w:spacing w:after="0" w:line="240" w:lineRule="auto"/>
        <w:jc w:val="center"/>
        <w:rPr>
          <w:rFonts w:ascii="Book Antiqua" w:hAnsi="Book Antiqua"/>
          <w:sz w:val="24"/>
          <w:szCs w:val="24"/>
        </w:rPr>
      </w:pPr>
      <w:r w:rsidRPr="00DE3804">
        <w:rPr>
          <w:rFonts w:ascii="Book Antiqua" w:hAnsi="Book Antiqua"/>
          <w:sz w:val="24"/>
          <w:szCs w:val="24"/>
        </w:rPr>
        <w:t xml:space="preserve">Published on </w:t>
      </w:r>
      <w:r w:rsidR="00A716DF">
        <w:rPr>
          <w:rFonts w:ascii="Book Antiqua" w:hAnsi="Book Antiqua"/>
          <w:sz w:val="24"/>
          <w:szCs w:val="24"/>
        </w:rPr>
        <w:t>30</w:t>
      </w:r>
      <w:r w:rsidRPr="00DE3804">
        <w:rPr>
          <w:rFonts w:ascii="Book Antiqua" w:hAnsi="Book Antiqua"/>
          <w:sz w:val="24"/>
          <w:szCs w:val="24"/>
        </w:rPr>
        <w:t xml:space="preserve"> </w:t>
      </w:r>
      <w:r w:rsidR="00A716DF">
        <w:rPr>
          <w:rFonts w:ascii="Book Antiqua" w:hAnsi="Book Antiqua"/>
          <w:sz w:val="24"/>
          <w:szCs w:val="24"/>
        </w:rPr>
        <w:t>December</w:t>
      </w:r>
      <w:r w:rsidRPr="00DE3804">
        <w:rPr>
          <w:rFonts w:ascii="Book Antiqua" w:hAnsi="Book Antiqua"/>
          <w:sz w:val="24"/>
          <w:szCs w:val="24"/>
        </w:rPr>
        <w:t xml:space="preserve"> 202</w:t>
      </w:r>
      <w:r w:rsidR="00512BD8">
        <w:rPr>
          <w:rFonts w:ascii="Book Antiqua" w:hAnsi="Book Antiqua"/>
          <w:sz w:val="24"/>
          <w:szCs w:val="24"/>
        </w:rPr>
        <w:t>4</w:t>
      </w:r>
    </w:p>
    <w:p w14:paraId="6201BC3C" w14:textId="77777777" w:rsidR="006A0378" w:rsidRPr="00DE3804" w:rsidRDefault="006A0378" w:rsidP="00EA2995">
      <w:pPr>
        <w:autoSpaceDE w:val="0"/>
        <w:autoSpaceDN w:val="0"/>
        <w:adjustRightInd w:val="0"/>
        <w:spacing w:after="0" w:line="240" w:lineRule="auto"/>
        <w:jc w:val="both"/>
        <w:rPr>
          <w:rFonts w:ascii="Book Antiqua" w:hAnsi="Book Antiqua"/>
          <w:sz w:val="24"/>
          <w:szCs w:val="24"/>
        </w:rPr>
      </w:pPr>
    </w:p>
    <w:p w14:paraId="779F2EDF" w14:textId="77777777" w:rsidR="00AB2931" w:rsidRDefault="00471531" w:rsidP="00EA2995">
      <w:pPr>
        <w:spacing w:after="0" w:line="240" w:lineRule="auto"/>
        <w:ind w:right="4"/>
        <w:jc w:val="both"/>
        <w:rPr>
          <w:rFonts w:ascii="Book Antiqua" w:hAnsi="Book Antiqua" w:cs="Arial"/>
          <w:sz w:val="24"/>
          <w:szCs w:val="24"/>
        </w:rPr>
      </w:pPr>
      <w:r w:rsidRPr="00366BCF">
        <w:rPr>
          <w:rFonts w:ascii="Book Antiqua" w:hAnsi="Book Antiqua"/>
          <w:b/>
          <w:bCs/>
          <w:sz w:val="24"/>
          <w:szCs w:val="24"/>
        </w:rPr>
        <w:t xml:space="preserve">Abstract: </w:t>
      </w:r>
      <w:r w:rsidR="00D34087" w:rsidRPr="00366BCF">
        <w:rPr>
          <w:rFonts w:ascii="Book Antiqua" w:hAnsi="Book Antiqua" w:cs="Arial"/>
          <w:sz w:val="24"/>
          <w:szCs w:val="24"/>
          <w:lang w:val="id-ID"/>
        </w:rPr>
        <w:t>This study aims to develop an interactive module using Livewire and PCB Wizard applications to facilitate students in designing electronic circuits in the subject of electronic circuit applications. The study employed the methods of analysis, design, development, implementation, and evaluation (ADDIE). Furthermore, there was an improvement in scores from the experimental class compared to the control class. Expert evaluations resulted in an average score of 4,24 with a percentage of 84,93%. The effectiveness questionnaire from students yielded a score of 4,53 with a percentage of 90,07%. These findings indicate that the interactive video is considered effective and practical for use, demonstrating that the use of Livewire and PCB Wizard applications can significantly improve students</w:t>
      </w:r>
      <w:r w:rsidR="00DF1005">
        <w:rPr>
          <w:rFonts w:ascii="Book Antiqua" w:hAnsi="Book Antiqua" w:cs="Arial"/>
          <w:sz w:val="24"/>
          <w:szCs w:val="24"/>
          <w:lang w:val="id-ID"/>
        </w:rPr>
        <w:t>’</w:t>
      </w:r>
      <w:r w:rsidR="00D34087" w:rsidRPr="00366BCF">
        <w:rPr>
          <w:rFonts w:ascii="Book Antiqua" w:hAnsi="Book Antiqua" w:cs="Arial"/>
          <w:sz w:val="24"/>
          <w:szCs w:val="24"/>
          <w:lang w:val="id-ID"/>
        </w:rPr>
        <w:t xml:space="preserve"> abilities in designing electronic circuits.</w:t>
      </w:r>
    </w:p>
    <w:p w14:paraId="30D6227D" w14:textId="77777777" w:rsidR="000811F1" w:rsidRPr="000811F1" w:rsidRDefault="000811F1" w:rsidP="00EA2995">
      <w:pPr>
        <w:spacing w:after="0" w:line="240" w:lineRule="auto"/>
        <w:ind w:right="4"/>
        <w:jc w:val="both"/>
        <w:rPr>
          <w:rFonts w:ascii="Book Antiqua" w:hAnsi="Book Antiqua" w:cs="Arial"/>
          <w:sz w:val="24"/>
          <w:szCs w:val="24"/>
        </w:rPr>
      </w:pPr>
    </w:p>
    <w:p w14:paraId="21F5EA75" w14:textId="77777777" w:rsidR="006444A1" w:rsidRPr="00366BCF" w:rsidRDefault="00471531" w:rsidP="00EA299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hAnsi="Book Antiqua" w:cs="Arial"/>
          <w:sz w:val="24"/>
          <w:szCs w:val="24"/>
        </w:rPr>
      </w:pPr>
      <w:r w:rsidRPr="00366BCF">
        <w:rPr>
          <w:rFonts w:ascii="Book Antiqua" w:hAnsi="Book Antiqua"/>
          <w:b/>
          <w:bCs/>
          <w:color w:val="000000" w:themeColor="text1"/>
          <w:sz w:val="24"/>
          <w:szCs w:val="24"/>
        </w:rPr>
        <w:t xml:space="preserve">Keywords: </w:t>
      </w:r>
      <w:r w:rsidR="004B5C37">
        <w:rPr>
          <w:rFonts w:ascii="Book Antiqua" w:hAnsi="Book Antiqua" w:cs="Arial"/>
          <w:sz w:val="24"/>
          <w:szCs w:val="24"/>
        </w:rPr>
        <w:t>D</w:t>
      </w:r>
      <w:r w:rsidR="004B5C37">
        <w:rPr>
          <w:rFonts w:ascii="Book Antiqua" w:hAnsi="Book Antiqua" w:cs="Arial"/>
          <w:sz w:val="24"/>
          <w:szCs w:val="24"/>
          <w:lang w:val="id-ID"/>
        </w:rPr>
        <w:t>evelopment, Livewire</w:t>
      </w:r>
      <w:r w:rsidR="004B5C37">
        <w:rPr>
          <w:rFonts w:ascii="Book Antiqua" w:hAnsi="Book Antiqua" w:cs="Arial"/>
          <w:sz w:val="24"/>
          <w:szCs w:val="24"/>
        </w:rPr>
        <w:t xml:space="preserve">, </w:t>
      </w:r>
      <w:r w:rsidR="004B5C37" w:rsidRPr="00366BCF">
        <w:rPr>
          <w:rFonts w:ascii="Book Antiqua" w:hAnsi="Book Antiqua" w:cs="Arial"/>
          <w:sz w:val="24"/>
          <w:szCs w:val="24"/>
          <w:lang w:val="id-ID"/>
        </w:rPr>
        <w:t>PCB Wizard</w:t>
      </w:r>
      <w:r w:rsidR="004B5C37">
        <w:rPr>
          <w:rFonts w:ascii="Book Antiqua" w:hAnsi="Book Antiqua" w:cs="Arial"/>
          <w:sz w:val="24"/>
          <w:szCs w:val="24"/>
        </w:rPr>
        <w:t>, V</w:t>
      </w:r>
      <w:r w:rsidR="004B5C37">
        <w:rPr>
          <w:rFonts w:ascii="Book Antiqua" w:hAnsi="Book Antiqua" w:cs="Arial"/>
          <w:sz w:val="24"/>
          <w:szCs w:val="24"/>
          <w:lang w:val="id-ID"/>
        </w:rPr>
        <w:t xml:space="preserve">ideo </w:t>
      </w:r>
    </w:p>
    <w:p w14:paraId="72304432" w14:textId="77777777" w:rsidR="000811F1" w:rsidRDefault="000811F1" w:rsidP="00EA299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hAnsi="Book Antiqua"/>
          <w:b/>
          <w:bCs/>
          <w:color w:val="000000" w:themeColor="text1"/>
          <w:sz w:val="24"/>
          <w:szCs w:val="24"/>
        </w:rPr>
      </w:pPr>
    </w:p>
    <w:p w14:paraId="40B52D1F" w14:textId="77777777" w:rsidR="006A0378" w:rsidRPr="00AE590B" w:rsidRDefault="00471531" w:rsidP="00EA299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hAnsi="Book Antiqua"/>
          <w:b/>
          <w:bCs/>
          <w:color w:val="000000" w:themeColor="text1"/>
          <w:sz w:val="24"/>
          <w:szCs w:val="24"/>
          <w:lang w:val="id-ID"/>
        </w:rPr>
      </w:pPr>
      <w:r w:rsidRPr="00AE590B">
        <w:rPr>
          <w:rFonts w:ascii="Book Antiqua" w:hAnsi="Book Antiqua"/>
          <w:b/>
          <w:bCs/>
          <w:color w:val="000000" w:themeColor="text1"/>
          <w:sz w:val="24"/>
          <w:szCs w:val="24"/>
          <w:lang w:val="id-ID"/>
        </w:rPr>
        <w:t>A. Introduction</w:t>
      </w:r>
    </w:p>
    <w:p w14:paraId="0190DAF4" w14:textId="77777777" w:rsidR="000811F1" w:rsidRDefault="000811F1" w:rsidP="00EA2995">
      <w:pPr>
        <w:spacing w:after="0" w:line="240" w:lineRule="auto"/>
        <w:jc w:val="both"/>
        <w:rPr>
          <w:rFonts w:ascii="Book Antiqua" w:hAnsi="Book Antiqua" w:cs="Arial"/>
          <w:sz w:val="24"/>
          <w:szCs w:val="24"/>
        </w:rPr>
      </w:pPr>
    </w:p>
    <w:p w14:paraId="2D2C6A34" w14:textId="77777777" w:rsidR="0037269C" w:rsidRDefault="001F157D" w:rsidP="00211335">
      <w:pPr>
        <w:pStyle w:val="NoSpacing"/>
        <w:jc w:val="both"/>
        <w:rPr>
          <w:rFonts w:ascii="Book Antiqua" w:hAnsi="Book Antiqua"/>
          <w:sz w:val="24"/>
          <w:szCs w:val="24"/>
        </w:rPr>
      </w:pPr>
      <w:r w:rsidRPr="001F157D">
        <w:rPr>
          <w:rFonts w:ascii="Book Antiqua" w:hAnsi="Book Antiqua"/>
          <w:sz w:val="24"/>
          <w:szCs w:val="24"/>
        </w:rPr>
        <w:t xml:space="preserve">In the 1945 Constitution, Article 31, paragraph 1 states, </w:t>
      </w:r>
      <w:r w:rsidR="004B5C37">
        <w:rPr>
          <w:rFonts w:ascii="Book Antiqua" w:hAnsi="Book Antiqua"/>
          <w:sz w:val="24"/>
          <w:szCs w:val="24"/>
        </w:rPr>
        <w:t>“</w:t>
      </w:r>
      <w:r w:rsidRPr="004B5C37">
        <w:rPr>
          <w:rFonts w:ascii="Book Antiqua" w:hAnsi="Book Antiqua"/>
          <w:sz w:val="24"/>
          <w:szCs w:val="24"/>
        </w:rPr>
        <w:t>E</w:t>
      </w:r>
      <w:r w:rsidRPr="001F157D">
        <w:rPr>
          <w:rFonts w:ascii="Book Antiqua" w:hAnsi="Book Antiqua"/>
          <w:sz w:val="24"/>
          <w:szCs w:val="24"/>
        </w:rPr>
        <w:t>very citizen has the right to receive education,</w:t>
      </w:r>
      <w:r w:rsidR="004B5C37">
        <w:rPr>
          <w:rFonts w:ascii="Book Antiqua" w:hAnsi="Book Antiqua"/>
          <w:sz w:val="24"/>
          <w:szCs w:val="24"/>
        </w:rPr>
        <w:t>”</w:t>
      </w:r>
      <w:r w:rsidRPr="001F157D">
        <w:rPr>
          <w:rFonts w:ascii="Book Antiqua" w:hAnsi="Book Antiqua"/>
          <w:sz w:val="24"/>
          <w:szCs w:val="24"/>
        </w:rPr>
        <w:t xml:space="preserve"> and paragraph 2 states, </w:t>
      </w:r>
      <w:r w:rsidR="004B5C37">
        <w:rPr>
          <w:rFonts w:ascii="Book Antiqua" w:hAnsi="Book Antiqua"/>
          <w:sz w:val="24"/>
          <w:szCs w:val="24"/>
        </w:rPr>
        <w:t>“</w:t>
      </w:r>
      <w:r w:rsidRPr="001F157D">
        <w:rPr>
          <w:rFonts w:ascii="Book Antiqua" w:hAnsi="Book Antiqua"/>
          <w:sz w:val="24"/>
          <w:szCs w:val="24"/>
        </w:rPr>
        <w:t>Every citizen is obliged to follow basic education, and the gove</w:t>
      </w:r>
      <w:r w:rsidR="00D16946">
        <w:rPr>
          <w:rFonts w:ascii="Book Antiqua" w:hAnsi="Book Antiqua"/>
          <w:sz w:val="24"/>
          <w:szCs w:val="24"/>
        </w:rPr>
        <w:t>rnment is obliged to finance it</w:t>
      </w:r>
      <w:r w:rsidR="004B5C37">
        <w:rPr>
          <w:rFonts w:ascii="Book Antiqua" w:hAnsi="Book Antiqua"/>
          <w:sz w:val="24"/>
          <w:szCs w:val="24"/>
        </w:rPr>
        <w:t>”</w:t>
      </w:r>
      <w:r w:rsidR="00D16946">
        <w:rPr>
          <w:rFonts w:ascii="Book Antiqua" w:hAnsi="Book Antiqua"/>
          <w:sz w:val="24"/>
          <w:szCs w:val="24"/>
        </w:rPr>
        <w:t>.</w:t>
      </w:r>
      <w:r w:rsidRPr="001F157D">
        <w:rPr>
          <w:rFonts w:ascii="Book Antiqua" w:hAnsi="Book Antiqua"/>
          <w:sz w:val="24"/>
          <w:szCs w:val="24"/>
        </w:rPr>
        <w:t xml:space="preserve"> In the fourth paragraph of the 1945 Constitution, the Indonesian government, among other things, is obliged to educate the nation</w:t>
      </w:r>
      <w:r w:rsidR="00DF1005">
        <w:rPr>
          <w:rFonts w:ascii="Book Antiqua" w:hAnsi="Book Antiqua"/>
          <w:sz w:val="24"/>
          <w:szCs w:val="24"/>
        </w:rPr>
        <w:t>’</w:t>
      </w:r>
      <w:r w:rsidRPr="001F157D">
        <w:rPr>
          <w:rFonts w:ascii="Book Antiqua" w:hAnsi="Book Antiqua"/>
          <w:sz w:val="24"/>
          <w:szCs w:val="24"/>
        </w:rPr>
        <w:t xml:space="preserve">s life. According to </w:t>
      </w:r>
      <w:proofErr w:type="spellStart"/>
      <w:r w:rsidRPr="001F157D">
        <w:rPr>
          <w:rFonts w:ascii="Book Antiqua" w:hAnsi="Book Antiqua"/>
          <w:sz w:val="24"/>
          <w:szCs w:val="24"/>
        </w:rPr>
        <w:t>Lengeveld</w:t>
      </w:r>
      <w:proofErr w:type="spellEnd"/>
      <w:r w:rsidRPr="001F157D">
        <w:rPr>
          <w:rFonts w:ascii="Book Antiqua" w:hAnsi="Book Antiqua"/>
          <w:sz w:val="24"/>
          <w:szCs w:val="24"/>
        </w:rPr>
        <w:t>, education is an effort to influence, protect, and provide assistance aimed at the maturity of students. The goal is to help students to be able to carry out their own life tasks without the help of others. According to Dewey, education is a process of experience because life is growth</w:t>
      </w:r>
      <w:r w:rsidR="00C51FCC">
        <w:rPr>
          <w:rFonts w:ascii="Book Antiqua" w:hAnsi="Book Antiqua"/>
          <w:sz w:val="24"/>
          <w:szCs w:val="24"/>
        </w:rPr>
        <w:t xml:space="preserve"> </w:t>
      </w:r>
      <w:r w:rsidR="00C51FCC">
        <w:rPr>
          <w:rFonts w:ascii="Book Antiqua" w:hAnsi="Book Antiqua"/>
          <w:sz w:val="24"/>
          <w:szCs w:val="24"/>
        </w:rPr>
        <w:fldChar w:fldCharType="begin" w:fldLock="1"/>
      </w:r>
      <w:r w:rsidR="00C51FCC">
        <w:rPr>
          <w:rFonts w:ascii="Book Antiqua" w:hAnsi="Book Antiqua"/>
          <w:sz w:val="24"/>
          <w:szCs w:val="24"/>
        </w:rPr>
        <w:instrText>ADDIN CSL_CITATION {"citationItems":[{"id":"ITEM-1","itemData":{"author":[{"dropping-particle":"","family":"Dewey","given":"J","non-dropping-particle":"","parse-names":false,"suffix":""}],"id":"ITEM-1","issued":{"date-parts":[["1938"]]},"publisher":"Collier Books","publisher-place":"New York","title":"Experience and education","type":"book"},"uris":["http://www.mendeley.com/documents/?uuid=21458964-b166-4528-8243-cf436c83897a"]}],"mendeley":{"formattedCitation":"(Dewey, 1938)","plainTextFormattedCitation":"(Dewey, 1938)","previouslyFormattedCitation":"(Dewey, 1938)"},"properties":{"noteIndex":0},"schema":"https://github.com/citation-style-language/schema/raw/master/csl-citation.json"}</w:instrText>
      </w:r>
      <w:r w:rsidR="00C51FCC">
        <w:rPr>
          <w:rFonts w:ascii="Book Antiqua" w:hAnsi="Book Antiqua"/>
          <w:sz w:val="24"/>
          <w:szCs w:val="24"/>
        </w:rPr>
        <w:fldChar w:fldCharType="separate"/>
      </w:r>
      <w:r w:rsidR="00C51FCC" w:rsidRPr="00C51FCC">
        <w:rPr>
          <w:rFonts w:ascii="Book Antiqua" w:hAnsi="Book Antiqua"/>
          <w:noProof/>
          <w:sz w:val="24"/>
          <w:szCs w:val="24"/>
        </w:rPr>
        <w:t>(Dewey, 1938)</w:t>
      </w:r>
      <w:r w:rsidR="00C51FCC">
        <w:rPr>
          <w:rFonts w:ascii="Book Antiqua" w:hAnsi="Book Antiqua"/>
          <w:sz w:val="24"/>
          <w:szCs w:val="24"/>
        </w:rPr>
        <w:fldChar w:fldCharType="end"/>
      </w:r>
      <w:r w:rsidRPr="001F157D">
        <w:rPr>
          <w:rFonts w:ascii="Book Antiqua" w:hAnsi="Book Antiqua"/>
          <w:sz w:val="24"/>
          <w:szCs w:val="24"/>
        </w:rPr>
        <w:t>. Education helps inner growth without being limited by age</w:t>
      </w:r>
      <w:r w:rsidR="00C51FCC">
        <w:rPr>
          <w:rFonts w:ascii="Book Antiqua" w:hAnsi="Book Antiqua"/>
          <w:sz w:val="24"/>
          <w:szCs w:val="24"/>
        </w:rPr>
        <w:t xml:space="preserve"> </w:t>
      </w:r>
      <w:r w:rsidR="00C51FCC">
        <w:rPr>
          <w:rFonts w:ascii="Book Antiqua" w:hAnsi="Book Antiqua"/>
          <w:sz w:val="24"/>
          <w:szCs w:val="24"/>
        </w:rPr>
        <w:fldChar w:fldCharType="begin" w:fldLock="1"/>
      </w:r>
      <w:r w:rsidR="00C51FCC">
        <w:rPr>
          <w:rFonts w:ascii="Book Antiqua" w:hAnsi="Book Antiqua"/>
          <w:sz w:val="24"/>
          <w:szCs w:val="24"/>
        </w:rPr>
        <w:instrText>ADDIN CSL_CITATION {"citationItems":[{"id":"ITEM-1","itemData":{"DOI":"10.1002/9781119656913.ch13","author":[{"dropping-particle":"","family":"Green","given":"Suzy","non-dropping-particle":"","parse-names":false,"suffix":""},{"dropping-particle":"","family":"Grant","given":"Anthony M.","non-dropping-particle":"","parse-names":false,"suffix":""},{"dropping-particle":"","family":"Rynsaardt","given":"Jo","non-dropping-particle":"","parse-names":false,"suffix":""}],"container-title":"Coaching Researched","id":"ITEM-1","issued":{"date-parts":[["2020","11","9"]]},"page":"257-268","publisher":"Wiley","title":"Evidence</w:instrText>
      </w:r>
      <w:r w:rsidR="00C51FCC">
        <w:rPr>
          <w:rFonts w:ascii="Times New Roman" w:hAnsi="Times New Roman"/>
          <w:sz w:val="24"/>
          <w:szCs w:val="24"/>
        </w:rPr>
        <w:instrText>‐</w:instrText>
      </w:r>
      <w:r w:rsidR="00C51FCC">
        <w:rPr>
          <w:rFonts w:ascii="Book Antiqua" w:hAnsi="Book Antiqua"/>
          <w:sz w:val="24"/>
          <w:szCs w:val="24"/>
        </w:rPr>
        <w:instrText>Based Life Coaching for Senior High School Students","type":"chapter"},"uris":["http://www.mendeley.com/documents/?uuid=34d43518-c1cf-3cc2-a790-ee5836a732fb"]}],"mendeley":{"formattedCitation":"(Green et al., 2020)","plainTextFormattedCitation":"(Green et al., 2020)","previouslyFormattedCitation":"(Green et al., 2020)"},"properties":{"noteIndex":0},"schema":"https://github.com/citation-style-language/schema/raw/master/csl-citation.json"}</w:instrText>
      </w:r>
      <w:r w:rsidR="00C51FCC">
        <w:rPr>
          <w:rFonts w:ascii="Book Antiqua" w:hAnsi="Book Antiqua"/>
          <w:sz w:val="24"/>
          <w:szCs w:val="24"/>
        </w:rPr>
        <w:fldChar w:fldCharType="separate"/>
      </w:r>
      <w:r w:rsidR="00C51FCC" w:rsidRPr="00C51FCC">
        <w:rPr>
          <w:rFonts w:ascii="Book Antiqua" w:hAnsi="Book Antiqua"/>
          <w:noProof/>
          <w:sz w:val="24"/>
          <w:szCs w:val="24"/>
        </w:rPr>
        <w:t>(Green et al., 2020)</w:t>
      </w:r>
      <w:r w:rsidR="00C51FCC">
        <w:rPr>
          <w:rFonts w:ascii="Book Antiqua" w:hAnsi="Book Antiqua"/>
          <w:sz w:val="24"/>
          <w:szCs w:val="24"/>
        </w:rPr>
        <w:fldChar w:fldCharType="end"/>
      </w:r>
      <w:r w:rsidRPr="001F157D">
        <w:rPr>
          <w:rFonts w:ascii="Book Antiqua" w:hAnsi="Book Antiqua"/>
          <w:sz w:val="24"/>
          <w:szCs w:val="24"/>
        </w:rPr>
        <w:t>. This growth process is a process of adjustment at each phase of life and adds skills to a person</w:t>
      </w:r>
      <w:r w:rsidR="00DF1005">
        <w:rPr>
          <w:rFonts w:ascii="Book Antiqua" w:hAnsi="Book Antiqua"/>
          <w:sz w:val="24"/>
          <w:szCs w:val="24"/>
        </w:rPr>
        <w:t>’</w:t>
      </w:r>
      <w:r w:rsidRPr="001F157D">
        <w:rPr>
          <w:rFonts w:ascii="Book Antiqua" w:hAnsi="Book Antiqua"/>
          <w:sz w:val="24"/>
          <w:szCs w:val="24"/>
        </w:rPr>
        <w:t>s development. Meanwhile, education is an experience that provides understanding, insight, and adjustment for students, so that they can develop and grow</w:t>
      </w:r>
      <w:r w:rsidR="0037269C">
        <w:rPr>
          <w:rFonts w:ascii="Book Antiqua" w:hAnsi="Book Antiqua"/>
          <w:sz w:val="24"/>
          <w:szCs w:val="24"/>
        </w:rPr>
        <w:t xml:space="preserve"> </w:t>
      </w:r>
      <w:r w:rsidR="0037269C">
        <w:rPr>
          <w:rFonts w:ascii="Book Antiqua" w:hAnsi="Book Antiqua"/>
          <w:sz w:val="24"/>
          <w:szCs w:val="24"/>
        </w:rPr>
        <w:fldChar w:fldCharType="begin" w:fldLock="1"/>
      </w:r>
      <w:r w:rsidR="00C51FCC">
        <w:rPr>
          <w:rFonts w:ascii="Book Antiqua" w:hAnsi="Book Antiqua"/>
          <w:sz w:val="24"/>
          <w:szCs w:val="24"/>
        </w:rPr>
        <w:instrText>ADDIN CSL_CITATION {"citationItems":[{"id":"ITEM-1","itemData":{"DOI":"10.1080/07294360.2017.1344197","ISSN":"0729-4360","author":[{"dropping-particle":"","family":"Kahu","given":"Ella R.","non-dropping-particle":"","parse-names":false,"suffix":""},{"dropping-particle":"","family":"Nelson","given":"Karen","non-dropping-particle":"","parse-names":false,"suffix":""}],"container-title":"Higher Education Research &amp; Development","id":"ITEM-1","issue":"1","issued":{"date-parts":[["2018","1","2"]]},"page":"58-71","title":"Student engagement in the educational interface: understanding the mechanisms of student success","type":"article-journal","volume":"37"},"uris":["http://www.mendeley.com/documents/?uuid=866faeb5-912b-34cd-8231-0580c7f4770b"]}],"mendeley":{"formattedCitation":"(Kahu &amp; Nelson, 2018)","plainTextFormattedCitation":"(Kahu &amp; Nelson, 2018)","previouslyFormattedCitation":"(Kahu &amp; Nelson, 2018)"},"properties":{"noteIndex":0},"schema":"https://github.com/citation-style-language/schema/raw/master/csl-citation.json"}</w:instrText>
      </w:r>
      <w:r w:rsidR="0037269C">
        <w:rPr>
          <w:rFonts w:ascii="Book Antiqua" w:hAnsi="Book Antiqua"/>
          <w:sz w:val="24"/>
          <w:szCs w:val="24"/>
        </w:rPr>
        <w:fldChar w:fldCharType="separate"/>
      </w:r>
      <w:r w:rsidR="0037269C" w:rsidRPr="0037269C">
        <w:rPr>
          <w:rFonts w:ascii="Book Antiqua" w:hAnsi="Book Antiqua"/>
          <w:noProof/>
          <w:sz w:val="24"/>
          <w:szCs w:val="24"/>
        </w:rPr>
        <w:t>(Kahu &amp; Nelson, 2018)</w:t>
      </w:r>
      <w:r w:rsidR="0037269C">
        <w:rPr>
          <w:rFonts w:ascii="Book Antiqua" w:hAnsi="Book Antiqua"/>
          <w:sz w:val="24"/>
          <w:szCs w:val="24"/>
        </w:rPr>
        <w:fldChar w:fldCharType="end"/>
      </w:r>
      <w:r w:rsidR="0037269C">
        <w:rPr>
          <w:rFonts w:ascii="Book Antiqua" w:hAnsi="Book Antiqua"/>
          <w:sz w:val="24"/>
          <w:szCs w:val="24"/>
        </w:rPr>
        <w:t>.</w:t>
      </w:r>
    </w:p>
    <w:p w14:paraId="1BF32323" w14:textId="77777777" w:rsidR="00211335" w:rsidRDefault="00DF1005" w:rsidP="00211335">
      <w:pPr>
        <w:pStyle w:val="NoSpacing"/>
        <w:jc w:val="both"/>
        <w:rPr>
          <w:rFonts w:ascii="Book Antiqua" w:hAnsi="Book Antiqua"/>
          <w:sz w:val="24"/>
          <w:szCs w:val="24"/>
        </w:rPr>
      </w:pPr>
      <w:r>
        <w:rPr>
          <w:rFonts w:ascii="Book Antiqua" w:hAnsi="Book Antiqua"/>
          <w:sz w:val="24"/>
          <w:szCs w:val="24"/>
        </w:rPr>
        <w:t xml:space="preserve"> </w:t>
      </w:r>
      <w:r w:rsidR="00211335">
        <w:rPr>
          <w:rFonts w:ascii="Book Antiqua" w:hAnsi="Book Antiqua"/>
          <w:sz w:val="24"/>
          <w:szCs w:val="24"/>
        </w:rPr>
        <w:t xml:space="preserve"> </w:t>
      </w:r>
    </w:p>
    <w:p w14:paraId="5997B750" w14:textId="77777777" w:rsidR="00211335" w:rsidRDefault="00211335" w:rsidP="00211335">
      <w:pPr>
        <w:pStyle w:val="NoSpacing"/>
        <w:jc w:val="both"/>
        <w:rPr>
          <w:rFonts w:ascii="Book Antiqua" w:hAnsi="Book Antiqua"/>
          <w:sz w:val="24"/>
          <w:szCs w:val="24"/>
        </w:rPr>
      </w:pPr>
      <w:r w:rsidRPr="00211335">
        <w:rPr>
          <w:rFonts w:ascii="Book Antiqua" w:hAnsi="Book Antiqua"/>
          <w:sz w:val="24"/>
          <w:szCs w:val="24"/>
        </w:rPr>
        <w:lastRenderedPageBreak/>
        <w:t>In realizing the ideals of the Indonesian nation, education has a very strategic role in improving the quality of human resources, namely achieving general welfare and improving the life of the nation</w:t>
      </w:r>
      <w:r w:rsidR="00C51FCC">
        <w:rPr>
          <w:rFonts w:ascii="Book Antiqua" w:hAnsi="Book Antiqua"/>
          <w:sz w:val="24"/>
          <w:szCs w:val="24"/>
        </w:rPr>
        <w:t xml:space="preserve"> </w:t>
      </w:r>
      <w:r w:rsidR="00C51FCC">
        <w:rPr>
          <w:rFonts w:ascii="Book Antiqua" w:hAnsi="Book Antiqua"/>
          <w:sz w:val="24"/>
          <w:szCs w:val="24"/>
        </w:rPr>
        <w:fldChar w:fldCharType="begin" w:fldLock="1"/>
      </w:r>
      <w:r w:rsidR="002D40CE">
        <w:rPr>
          <w:rFonts w:ascii="Book Antiqua" w:hAnsi="Book Antiqua"/>
          <w:sz w:val="24"/>
          <w:szCs w:val="24"/>
        </w:rPr>
        <w:instrText>ADDIN CSL_CITATION {"citationItems":[{"id":"ITEM-1","itemData":{"DOI":"10.14710/mmh.50.2.2021.172-183","ISSN":"2527-4716","abstract":"&lt;p&gt;Di Indonesia, pendidikan menjadi prioritas utama karena tuntutan globalisasi. Pemerintah fokus untuk membangun Sistem Pendidikan Nasional yang berbasis pada pengembangan sumber daya manusia sesuai Pembukaan Undang-Undang Dasar Negara Republik Indonesia Tahun 1945. Keseriusan pemerintah terlihat melalui politik hukum pembentukan peraturan perundang-undangan yang mengatur bidang pendidikan. Paper ini bertujuan mengkaji tentang bagaimana terwujudnya politik hukum yang responsif dalam penyelenggaraan Sistem Pendidikan Nasional di era globalisasi. Permasalahan yang muncul adalah apakah politik hukum pemerintah di bidang pendidikan sudah responsif? Penyelenggaraan sistem pendidikan nasional yang responsif di era globalisasi menuntut partisipasi masyarakat dalam pembangunan hukum di bidang pendidikan.&lt;/p&gt;","author":[{"dropping-particle":"","family":"Astomo","given":"Putera","non-dropping-particle":"","parse-names":false,"suffix":""}],"container-title":"Masalah-Masalah Hukum","id":"ITEM-1","issue":"2","issued":{"date-parts":[["2021","4","30"]]},"page":"172-183","title":"POLITIK HUKUM PENYELENGGARAAN SISTEM PENDIDIKAN NASIONAL YANG RESPONSIF DI ERA GLOBALISASI","type":"article-journal","volume":"50"},"uris":["http://www.mendeley.com/documents/?uuid=8c5325d0-ccd7-37ee-8317-b70ac0a1f1ed"]}],"mendeley":{"formattedCitation":"(Astomo, 2021)","plainTextFormattedCitation":"(Astomo, 2021)","previouslyFormattedCitation":"(Astomo, 2021)"},"properties":{"noteIndex":0},"schema":"https://github.com/citation-style-language/schema/raw/master/csl-citation.json"}</w:instrText>
      </w:r>
      <w:r w:rsidR="00C51FCC">
        <w:rPr>
          <w:rFonts w:ascii="Book Antiqua" w:hAnsi="Book Antiqua"/>
          <w:sz w:val="24"/>
          <w:szCs w:val="24"/>
        </w:rPr>
        <w:fldChar w:fldCharType="separate"/>
      </w:r>
      <w:r w:rsidR="00C51FCC" w:rsidRPr="00C51FCC">
        <w:rPr>
          <w:rFonts w:ascii="Book Antiqua" w:hAnsi="Book Antiqua"/>
          <w:noProof/>
          <w:sz w:val="24"/>
          <w:szCs w:val="24"/>
        </w:rPr>
        <w:t>(Astomo, 2021)</w:t>
      </w:r>
      <w:r w:rsidR="00C51FCC">
        <w:rPr>
          <w:rFonts w:ascii="Book Antiqua" w:hAnsi="Book Antiqua"/>
          <w:sz w:val="24"/>
          <w:szCs w:val="24"/>
        </w:rPr>
        <w:fldChar w:fldCharType="end"/>
      </w:r>
      <w:r w:rsidRPr="00211335">
        <w:rPr>
          <w:rFonts w:ascii="Book Antiqua" w:hAnsi="Book Antiqua"/>
          <w:sz w:val="24"/>
          <w:szCs w:val="24"/>
        </w:rPr>
        <w:t xml:space="preserve">. Human resources are a very important component in an </w:t>
      </w:r>
      <w:r w:rsidRPr="00882715">
        <w:rPr>
          <w:rFonts w:ascii="Book Antiqua" w:hAnsi="Book Antiqua"/>
          <w:sz w:val="24"/>
          <w:szCs w:val="24"/>
        </w:rPr>
        <w:t>organization</w:t>
      </w:r>
      <w:r w:rsidR="00882715" w:rsidRPr="00882715">
        <w:rPr>
          <w:rFonts w:ascii="Book Antiqua" w:hAnsi="Book Antiqua"/>
          <w:sz w:val="24"/>
          <w:szCs w:val="24"/>
        </w:rPr>
        <w:t xml:space="preserve"> </w:t>
      </w:r>
      <w:r w:rsidR="00882715" w:rsidRPr="00882715">
        <w:rPr>
          <w:rFonts w:ascii="Book Antiqua" w:hAnsi="Book Antiqua" w:cs="Segoe UI"/>
          <w:sz w:val="24"/>
          <w:szCs w:val="24"/>
          <w:shd w:val="clear" w:color="auto" w:fill="FFFFFF"/>
        </w:rPr>
        <w:fldChar w:fldCharType="begin" w:fldLock="1"/>
      </w:r>
      <w:r w:rsidR="0037269C">
        <w:rPr>
          <w:rFonts w:ascii="Book Antiqua" w:hAnsi="Book Antiqua" w:cs="Segoe UI"/>
          <w:sz w:val="24"/>
          <w:szCs w:val="24"/>
          <w:shd w:val="clear" w:color="auto" w:fill="FFFFFF"/>
        </w:rPr>
        <w:instrText>ADDIN CSL_CITATION {"citationItems":[{"id":"ITEM-1","itemData":{"DOI":"https://journalpedia.com/1/index.php/jpb/article/view/2850","author":[{"dropping-particle":"","family":"Herbeth","given":"Gary Yefta","non-dropping-particle":"","parse-names":false,"suffix":""},{"dropping-particle":"","family":"Barunwati","given":"Tetty","non-dropping-particle":"","parse-names":false,"suffix":""}],"container-title":"Jurnal Pemasaran Bisnis","id":"ITEM-1","issue":"3","issued":{"date-parts":[["2024"]]},"title":"PENGARUH PENGELOLAAN SUMBER DAYA MANUSIA, TOTAL QUALITY MANAGEMENT, DAN MOTIVASI KERJA TERHADAP PERFORMANCE KARYAWAN DI SEKOLAH GLOBAL MANDIRI CIBUBUR","type":"article-journal","volume":"6"},"uris":["http://www.mendeley.com/documents/?uuid=7b4c791f-e3dc-43d2-adc0-25892b8bc7ab","http://www.mendeley.com/documents/?uuid=c323bebf-a198-4db8-b25c-3f9a0eb9612a"]}],"mendeley":{"formattedCitation":"(Herbeth &amp; Barunwati, 2024)","plainTextFormattedCitation":"(Herbeth &amp; Barunwati, 2024)","previouslyFormattedCitation":"(Herbeth &amp; Barunwati, 2024)"},"properties":{"noteIndex":0},"schema":"https://github.com/citation-style-language/schema/raw/master/csl-citation.json"}</w:instrText>
      </w:r>
      <w:r w:rsidR="00882715" w:rsidRPr="00882715">
        <w:rPr>
          <w:rFonts w:ascii="Book Antiqua" w:hAnsi="Book Antiqua" w:cs="Segoe UI"/>
          <w:sz w:val="24"/>
          <w:szCs w:val="24"/>
          <w:shd w:val="clear" w:color="auto" w:fill="FFFFFF"/>
        </w:rPr>
        <w:fldChar w:fldCharType="separate"/>
      </w:r>
      <w:r w:rsidR="00882715" w:rsidRPr="00882715">
        <w:rPr>
          <w:rFonts w:ascii="Book Antiqua" w:hAnsi="Book Antiqua" w:cs="Segoe UI"/>
          <w:noProof/>
          <w:sz w:val="24"/>
          <w:szCs w:val="24"/>
          <w:shd w:val="clear" w:color="auto" w:fill="FFFFFF"/>
        </w:rPr>
        <w:t>(Herbeth &amp; Barunwati, 2024)</w:t>
      </w:r>
      <w:r w:rsidR="00882715" w:rsidRPr="00882715">
        <w:rPr>
          <w:rFonts w:ascii="Book Antiqua" w:hAnsi="Book Antiqua" w:cs="Segoe UI"/>
          <w:sz w:val="24"/>
          <w:szCs w:val="24"/>
          <w:shd w:val="clear" w:color="auto" w:fill="FFFFFF"/>
        </w:rPr>
        <w:fldChar w:fldCharType="end"/>
      </w:r>
      <w:r w:rsidRPr="00211335">
        <w:rPr>
          <w:rFonts w:ascii="Book Antiqua" w:hAnsi="Book Antiqua"/>
          <w:sz w:val="24"/>
          <w:szCs w:val="24"/>
        </w:rPr>
        <w:t>. Education also plays a very important role in the formation, development, and improvement of the quality of human resources</w:t>
      </w:r>
      <w:r w:rsidR="002D40CE">
        <w:rPr>
          <w:rFonts w:ascii="Book Antiqua" w:hAnsi="Book Antiqua"/>
          <w:sz w:val="24"/>
          <w:szCs w:val="24"/>
        </w:rPr>
        <w:t xml:space="preserve"> </w:t>
      </w:r>
      <w:r w:rsidR="002D40CE">
        <w:rPr>
          <w:rFonts w:ascii="Book Antiqua" w:hAnsi="Book Antiqua"/>
          <w:sz w:val="24"/>
          <w:szCs w:val="24"/>
        </w:rPr>
        <w:fldChar w:fldCharType="begin" w:fldLock="1"/>
      </w:r>
      <w:r w:rsidR="00DA6954">
        <w:rPr>
          <w:rFonts w:ascii="Book Antiqua" w:hAnsi="Book Antiqua"/>
          <w:sz w:val="24"/>
          <w:szCs w:val="24"/>
        </w:rPr>
        <w:instrText>ADDIN CSL_CITATION {"citationItems":[{"id":"ITEM-1","itemData":{"DOI":"10.1016/j.jclepro.2020.124008","ISSN":"09596526","author":[{"dropping-particle":"","family":"Piwowar-Sulej","given":"Katarzyna","non-dropping-particle":"","parse-names":false,"suffix":""}],"container-title":"Journal of Cleaner Production","id":"ITEM-1","issued":{"date-parts":[["2021","1"]]},"page":"124008","title":"Human resources development as an element of sustainable HRM – with the focus on production engineers","type":"article-journal","volume":"278"},"uris":["http://www.mendeley.com/documents/?uuid=d442072c-d3b4-361f-b999-f17ac5b1605c"]}],"mendeley":{"formattedCitation":"(Piwowar-Sulej, 2021)","plainTextFormattedCitation":"(Piwowar-Sulej, 2021)","previouslyFormattedCitation":"(Piwowar-Sulej, 2021)"},"properties":{"noteIndex":0},"schema":"https://github.com/citation-style-language/schema/raw/master/csl-citation.json"}</w:instrText>
      </w:r>
      <w:r w:rsidR="002D40CE">
        <w:rPr>
          <w:rFonts w:ascii="Book Antiqua" w:hAnsi="Book Antiqua"/>
          <w:sz w:val="24"/>
          <w:szCs w:val="24"/>
        </w:rPr>
        <w:fldChar w:fldCharType="separate"/>
      </w:r>
      <w:r w:rsidR="002D40CE" w:rsidRPr="002D40CE">
        <w:rPr>
          <w:rFonts w:ascii="Book Antiqua" w:hAnsi="Book Antiqua"/>
          <w:noProof/>
          <w:sz w:val="24"/>
          <w:szCs w:val="24"/>
        </w:rPr>
        <w:t>(Piwowar-Sulej, 2021)</w:t>
      </w:r>
      <w:r w:rsidR="002D40CE">
        <w:rPr>
          <w:rFonts w:ascii="Book Antiqua" w:hAnsi="Book Antiqua"/>
          <w:sz w:val="24"/>
          <w:szCs w:val="24"/>
        </w:rPr>
        <w:fldChar w:fldCharType="end"/>
      </w:r>
      <w:r w:rsidRPr="00211335">
        <w:rPr>
          <w:rFonts w:ascii="Book Antiqua" w:hAnsi="Book Antiqua"/>
          <w:sz w:val="24"/>
          <w:szCs w:val="24"/>
        </w:rPr>
        <w:t>. In other words, if a nation has quality human resources, then the quality of education in that nation must also be good, and vice versa</w:t>
      </w:r>
      <w:r w:rsidR="00862353">
        <w:rPr>
          <w:rFonts w:ascii="Book Antiqua" w:hAnsi="Book Antiqua"/>
          <w:sz w:val="24"/>
          <w:szCs w:val="24"/>
        </w:rPr>
        <w:t xml:space="preserve"> </w:t>
      </w:r>
      <w:r w:rsidR="00862353" w:rsidRPr="00862353">
        <w:rPr>
          <w:rFonts w:ascii="Book Antiqua" w:hAnsi="Book Antiqua"/>
          <w:sz w:val="24"/>
          <w:szCs w:val="24"/>
        </w:rPr>
        <w:fldChar w:fldCharType="begin" w:fldLock="1"/>
      </w:r>
      <w:r w:rsidR="0037269C">
        <w:rPr>
          <w:rFonts w:ascii="Book Antiqua" w:hAnsi="Book Antiqua"/>
          <w:sz w:val="24"/>
          <w:szCs w:val="24"/>
        </w:rPr>
        <w:instrText>ADDIN CSL_CITATION {"citationItems":[{"id":"ITEM-1","itemData":{"DOI":"https://doi.org/10.52434/jurnalkhazanahakademia.v8i02.155","author":[{"dropping-particle":"","family":"Hamdani","given":"Hamdani","non-dropping-particle":"","parse-names":false,"suffix":""},{"dropping-particle":"","family":"Ulumudin","given":"Aceng","non-dropping-particle":"","parse-names":false,"suffix":""},{"dropping-particle":"","family":"Ijudin","given":"Ijudin","non-dropping-particle":"","parse-names":false,"suffix":""}],"container-title":"Jurnal Manajemen Pendidikan Islam","id":"ITEM-1","issue":"02","issued":{"date-parts":[["2024"]]},"title":"Pengaruh Kepemimpinan Kepala Madrasah Terhadap Efektivitas Pengelolaan Sumber Daya Manusia Untuk Mewujudkan Mutu Pelayanan Pendidikan (Penelitian di MA. YPI. Baiturrahman Leles - Garut)","type":"article-journal","volume":"8"},"uris":["http://www.mendeley.com/documents/?uuid=e1547c11-f0b5-4427-87d2-2697b303ee48","http://www.mendeley.com/documents/?uuid=8737112f-0080-430f-8aab-7cfa2a70bc4e"]}],"mendeley":{"formattedCitation":"(Hamdani et al., 2024)","plainTextFormattedCitation":"(Hamdani et al., 2024)","previouslyFormattedCitation":"(Hamdani et al., 2024)"},"properties":{"noteIndex":0},"schema":"https://github.com/citation-style-language/schema/raw/master/csl-citation.json"}</w:instrText>
      </w:r>
      <w:r w:rsidR="00862353" w:rsidRPr="00862353">
        <w:rPr>
          <w:rFonts w:ascii="Book Antiqua" w:hAnsi="Book Antiqua"/>
          <w:sz w:val="24"/>
          <w:szCs w:val="24"/>
        </w:rPr>
        <w:fldChar w:fldCharType="separate"/>
      </w:r>
      <w:r w:rsidR="00862353" w:rsidRPr="00862353">
        <w:rPr>
          <w:rFonts w:ascii="Book Antiqua" w:hAnsi="Book Antiqua"/>
          <w:noProof/>
          <w:sz w:val="24"/>
          <w:szCs w:val="24"/>
        </w:rPr>
        <w:t>(Hamdani et al., 2024)</w:t>
      </w:r>
      <w:r w:rsidR="00862353" w:rsidRPr="00862353">
        <w:rPr>
          <w:rFonts w:ascii="Book Antiqua" w:hAnsi="Book Antiqua"/>
          <w:sz w:val="24"/>
          <w:szCs w:val="24"/>
        </w:rPr>
        <w:fldChar w:fldCharType="end"/>
      </w:r>
      <w:r w:rsidRPr="00211335">
        <w:rPr>
          <w:rFonts w:ascii="Book Antiqua" w:hAnsi="Book Antiqua"/>
          <w:sz w:val="24"/>
          <w:szCs w:val="24"/>
        </w:rPr>
        <w:t>. A good education system is an education system that can produce quality humans from an educator who can explain and educate his students well; besides that, facilities will also support the implementation of the learning process</w:t>
      </w:r>
      <w:r w:rsidR="00DA6954">
        <w:rPr>
          <w:rFonts w:ascii="Book Antiqua" w:hAnsi="Book Antiqua"/>
          <w:sz w:val="24"/>
          <w:szCs w:val="24"/>
        </w:rPr>
        <w:t xml:space="preserve"> </w:t>
      </w:r>
      <w:r w:rsidR="00DA6954">
        <w:rPr>
          <w:rFonts w:ascii="Book Antiqua" w:hAnsi="Book Antiqua"/>
          <w:sz w:val="24"/>
          <w:szCs w:val="24"/>
        </w:rPr>
        <w:fldChar w:fldCharType="begin" w:fldLock="1"/>
      </w:r>
      <w:r w:rsidR="0053699E">
        <w:rPr>
          <w:rFonts w:ascii="Book Antiqua" w:hAnsi="Book Antiqua"/>
          <w:sz w:val="24"/>
          <w:szCs w:val="24"/>
        </w:rPr>
        <w:instrText>ADDIN CSL_CITATION {"citationItems":[{"id":"ITEM-1","itemData":{"DOI":"10.31538/ndh.v7i1.2075","ISSN":"2503-1481","abstract":"&lt;p&gt;Professional teachers are not only required to master the fields of science, teaching materials, learning methods, and student motivation. They have high skills and broad insight into the world of education. This is inseparable from the guidance of a supervisor. Supervision is carried out to form and improve abilities in the teaching and learning process. Maintenance can help enhance teachers' professional skills so that teachers can carry out the teaching and learning process that they do in class well. Besides that, a teacher can also act as a professional educator in carrying out their duties and responsibilities in guiding and teaching, creating a comfortable learning atmosphere, and good communication. This article aims to describe the role of the principal as a supervisor to assist the teaching profession. The research method used in this article is a qualitative method with a case study approach.&lt;/p&gt;","author":[{"dropping-particle":"","family":"Amelia","given":"Chairunnisa","non-dropping-particle":"","parse-names":false,"suffix":""},{"dropping-particle":"","family":"Aprilianto","given":"Andika","non-dropping-particle":"","parse-names":false,"suffix":""},{"dropping-particle":"","family":"Supriatna","given":"Dasep","non-dropping-particle":"","parse-names":false,"suffix":""},{"dropping-particle":"","family":"Rusydi","given":"Ibnu","non-dropping-particle":"","parse-names":false,"suffix":""},{"dropping-particle":"","family":"Zahari","given":"Novela Elza","non-dropping-particle":"","parse-names":false,"suffix":""}],"container-title":"Nidhomul Haq : Jurnal Manajemen Pendidikan Islam","id":"ITEM-1","issue":"1","issued":{"date-parts":[["2022","4","6"]]},"page":"144-155","title":"The Principal's Role as Education Supervisor in Improving Teacher Professionalism","type":"article-journal","volume":"7"},"uris":["http://www.mendeley.com/documents/?uuid=de8ac007-385f-33fa-a19a-b4b5d6a78085"]}],"mendeley":{"formattedCitation":"(Amelia et al., 2022)","plainTextFormattedCitation":"(Amelia et al., 2022)","previouslyFormattedCitation":"(Amelia et al., 2022)"},"properties":{"noteIndex":0},"schema":"https://github.com/citation-style-language/schema/raw/master/csl-citation.json"}</w:instrText>
      </w:r>
      <w:r w:rsidR="00DA6954">
        <w:rPr>
          <w:rFonts w:ascii="Book Antiqua" w:hAnsi="Book Antiqua"/>
          <w:sz w:val="24"/>
          <w:szCs w:val="24"/>
        </w:rPr>
        <w:fldChar w:fldCharType="separate"/>
      </w:r>
      <w:r w:rsidR="00DA6954" w:rsidRPr="00DA6954">
        <w:rPr>
          <w:rFonts w:ascii="Book Antiqua" w:hAnsi="Book Antiqua"/>
          <w:noProof/>
          <w:sz w:val="24"/>
          <w:szCs w:val="24"/>
        </w:rPr>
        <w:t>(Amelia et al., 2022)</w:t>
      </w:r>
      <w:r w:rsidR="00DA6954">
        <w:rPr>
          <w:rFonts w:ascii="Book Antiqua" w:hAnsi="Book Antiqua"/>
          <w:sz w:val="24"/>
          <w:szCs w:val="24"/>
        </w:rPr>
        <w:fldChar w:fldCharType="end"/>
      </w:r>
      <w:r w:rsidRPr="00211335">
        <w:rPr>
          <w:rFonts w:ascii="Book Antiqua" w:hAnsi="Book Antiqua"/>
          <w:sz w:val="24"/>
          <w:szCs w:val="24"/>
        </w:rPr>
        <w:t>. This is in accordance with</w:t>
      </w:r>
      <w:r w:rsidR="009A7D8B">
        <w:rPr>
          <w:rFonts w:ascii="Book Antiqua" w:hAnsi="Book Antiqua"/>
          <w:sz w:val="24"/>
          <w:szCs w:val="24"/>
        </w:rPr>
        <w:t xml:space="preserve"> </w:t>
      </w:r>
      <w:r w:rsidR="009A7D8B">
        <w:rPr>
          <w:rFonts w:ascii="Book Antiqua" w:hAnsi="Book Antiqua" w:cs="Arial"/>
          <w:sz w:val="24"/>
          <w:szCs w:val="24"/>
        </w:rPr>
        <w:fldChar w:fldCharType="begin" w:fldLock="1"/>
      </w:r>
      <w:r w:rsidR="0037269C">
        <w:rPr>
          <w:rFonts w:ascii="Book Antiqua" w:hAnsi="Book Antiqua" w:cs="Arial"/>
          <w:sz w:val="24"/>
          <w:szCs w:val="24"/>
        </w:rPr>
        <w:instrText>ADDIN CSL_CITATION {"citationItems":[{"id":"ITEM-1","itemData":{"DOI":"https://doi.org/10.54840/juwita.v3i1.264","author":[{"dropping-particle":"","family":"Wulansari","given":"Vina","non-dropping-particle":"","parse-names":false,"suffix":""},{"dropping-particle":"","family":"Maunah","given":"Binti","non-dropping-particle":"","parse-names":false,"suffix":""}],"container-title":"Widya Didaktika -urnal Ilmiah Kependidikan","id":"ITEM-1","issue":"1","issued":{"date-parts":[["2024"]]},"page":"45-60","title":"PEMBAHARUAN DAN PERKEMBANGAN PENDIDIKAN DALAM MEMBENTUK SISWA AGAR LEBIH MAJU DI ERA DIGITAL","type":"article-journal","volume":"3"},"uris":["http://www.mendeley.com/documents/?uuid=df85c520-296f-44f8-adf3-af4d65652704","http://www.mendeley.com/documents/?uuid=9453b1a2-55f2-496b-b243-e05a20d3b4c7"]}],"mendeley":{"formattedCitation":"(Wulansari &amp; Maunah, 2024)","plainTextFormattedCitation":"(Wulansari &amp; Maunah, 2024)","previouslyFormattedCitation":"(Wulansari &amp; Maunah, 2024)"},"properties":{"noteIndex":0},"schema":"https://github.com/citation-style-language/schema/raw/master/csl-citation.json"}</w:instrText>
      </w:r>
      <w:r w:rsidR="009A7D8B">
        <w:rPr>
          <w:rFonts w:ascii="Book Antiqua" w:hAnsi="Book Antiqua" w:cs="Arial"/>
          <w:sz w:val="24"/>
          <w:szCs w:val="24"/>
        </w:rPr>
        <w:fldChar w:fldCharType="separate"/>
      </w:r>
      <w:r w:rsidR="009A7D8B" w:rsidRPr="00A93080">
        <w:rPr>
          <w:rFonts w:ascii="Book Antiqua" w:hAnsi="Book Antiqua" w:cs="Arial"/>
          <w:noProof/>
          <w:sz w:val="24"/>
          <w:szCs w:val="24"/>
        </w:rPr>
        <w:t>(Wulansari &amp; Maunah, 2024)</w:t>
      </w:r>
      <w:r w:rsidR="009A7D8B">
        <w:rPr>
          <w:rFonts w:ascii="Book Antiqua" w:hAnsi="Book Antiqua" w:cs="Arial"/>
          <w:sz w:val="24"/>
          <w:szCs w:val="24"/>
        </w:rPr>
        <w:fldChar w:fldCharType="end"/>
      </w:r>
      <w:r w:rsidR="009A7D8B">
        <w:rPr>
          <w:rFonts w:ascii="Book Antiqua" w:hAnsi="Book Antiqua"/>
          <w:sz w:val="24"/>
          <w:szCs w:val="24"/>
        </w:rPr>
        <w:t xml:space="preserve">. </w:t>
      </w:r>
      <w:r w:rsidRPr="00211335">
        <w:rPr>
          <w:rFonts w:ascii="Book Antiqua" w:hAnsi="Book Antiqua"/>
          <w:sz w:val="24"/>
          <w:szCs w:val="24"/>
        </w:rPr>
        <w:t>Problems of th</w:t>
      </w:r>
      <w:r w:rsidR="00DA6954">
        <w:rPr>
          <w:rFonts w:ascii="Book Antiqua" w:hAnsi="Book Antiqua"/>
          <w:sz w:val="24"/>
          <w:szCs w:val="24"/>
        </w:rPr>
        <w:t>e education system as a system a</w:t>
      </w:r>
      <w:r w:rsidRPr="00211335">
        <w:rPr>
          <w:rFonts w:ascii="Book Antiqua" w:hAnsi="Book Antiqua"/>
          <w:sz w:val="24"/>
          <w:szCs w:val="24"/>
        </w:rPr>
        <w:t>n education system consists of factors including personnel, students, teaching, learning techniques, facilities, resources, and materials</w:t>
      </w:r>
      <w:r w:rsidR="0053699E">
        <w:rPr>
          <w:rFonts w:ascii="Book Antiqua" w:hAnsi="Book Antiqua"/>
          <w:sz w:val="24"/>
          <w:szCs w:val="24"/>
        </w:rPr>
        <w:t xml:space="preserve"> </w:t>
      </w:r>
      <w:r w:rsidR="0053699E">
        <w:rPr>
          <w:rFonts w:ascii="Book Antiqua" w:hAnsi="Book Antiqua"/>
          <w:sz w:val="24"/>
          <w:szCs w:val="24"/>
        </w:rPr>
        <w:fldChar w:fldCharType="begin" w:fldLock="1"/>
      </w:r>
      <w:r w:rsidR="004F22A5">
        <w:rPr>
          <w:rFonts w:ascii="Book Antiqua" w:hAnsi="Book Antiqua"/>
          <w:sz w:val="24"/>
          <w:szCs w:val="24"/>
        </w:rPr>
        <w:instrText>ADDIN CSL_CITATION {"citationItems":[{"id":"ITEM-1","itemData":{"DOI":"10.1186/s41239-018-0116-z","ISSN":"2365-9440","author":[{"dropping-particle":"","family":"Eze","given":"Sunday Chinedu","non-dropping-particle":"","parse-names":false,"suffix":""},{"dropping-particle":"","family":"Chinedu-Eze","given":"Vera Chinwendu","non-dropping-particle":"","parse-names":false,"suffix":""},{"dropping-particle":"","family":"Bello","given":"Adenike Oluyemi","non-dropping-particle":"","parse-names":false,"suffix":""}],"container-title":"International Journal of Educational Technology in Higher Education","id":"ITEM-1","issue":"1","issued":{"date-parts":[["2018","12","19"]]},"page":"34","title":"The utilisation of e-learning facilities in the educational delivery system of Nigeria: a study of M-University","type":"article-journal","volume":"15"},"uris":["http://www.mendeley.com/documents/?uuid=8ffec9c1-cc5f-39e6-9874-7cc66ae89829"]}],"mendeley":{"formattedCitation":"(Eze et al., 2018)","plainTextFormattedCitation":"(Eze et al., 2018)","previouslyFormattedCitation":"(Eze et al., 2018)"},"properties":{"noteIndex":0},"schema":"https://github.com/citation-style-language/schema/raw/master/csl-citation.json"}</w:instrText>
      </w:r>
      <w:r w:rsidR="0053699E">
        <w:rPr>
          <w:rFonts w:ascii="Book Antiqua" w:hAnsi="Book Antiqua"/>
          <w:sz w:val="24"/>
          <w:szCs w:val="24"/>
        </w:rPr>
        <w:fldChar w:fldCharType="separate"/>
      </w:r>
      <w:r w:rsidR="0053699E" w:rsidRPr="0053699E">
        <w:rPr>
          <w:rFonts w:ascii="Book Antiqua" w:hAnsi="Book Antiqua"/>
          <w:noProof/>
          <w:sz w:val="24"/>
          <w:szCs w:val="24"/>
        </w:rPr>
        <w:t>(Eze et al., 2018)</w:t>
      </w:r>
      <w:r w:rsidR="0053699E">
        <w:rPr>
          <w:rFonts w:ascii="Book Antiqua" w:hAnsi="Book Antiqua"/>
          <w:sz w:val="24"/>
          <w:szCs w:val="24"/>
        </w:rPr>
        <w:fldChar w:fldCharType="end"/>
      </w:r>
      <w:r w:rsidRPr="00211335">
        <w:rPr>
          <w:rFonts w:ascii="Book Antiqua" w:hAnsi="Book Antiqua"/>
          <w:sz w:val="24"/>
          <w:szCs w:val="24"/>
        </w:rPr>
        <w:t>.</w:t>
      </w:r>
    </w:p>
    <w:p w14:paraId="2C606619" w14:textId="77777777" w:rsidR="00B66775" w:rsidRDefault="00B66775" w:rsidP="00211335">
      <w:pPr>
        <w:pStyle w:val="NoSpacing"/>
        <w:jc w:val="both"/>
        <w:rPr>
          <w:rFonts w:ascii="Book Antiqua" w:hAnsi="Book Antiqua"/>
          <w:sz w:val="24"/>
          <w:szCs w:val="24"/>
        </w:rPr>
      </w:pPr>
    </w:p>
    <w:p w14:paraId="093989C7" w14:textId="77777777" w:rsidR="00B66775" w:rsidRDefault="00B66775" w:rsidP="00B66775">
      <w:pPr>
        <w:pStyle w:val="NoSpacing"/>
        <w:jc w:val="both"/>
        <w:rPr>
          <w:rFonts w:ascii="Book Antiqua" w:hAnsi="Book Antiqua"/>
          <w:sz w:val="24"/>
          <w:szCs w:val="24"/>
        </w:rPr>
      </w:pPr>
      <w:r w:rsidRPr="00B66775">
        <w:rPr>
          <w:rFonts w:ascii="Book Antiqua" w:hAnsi="Book Antiqua"/>
          <w:sz w:val="24"/>
          <w:szCs w:val="24"/>
        </w:rPr>
        <w:t>Vocational high schools are schools that prioritize areas of expertise where students study the chosen field and are given direction, as well as the existence of laboratories and workshop practices so that vocational high schools can be said to be producers of competent workers in their fields</w:t>
      </w:r>
      <w:r w:rsidR="004F22A5">
        <w:rPr>
          <w:rFonts w:ascii="Book Antiqua" w:hAnsi="Book Antiqua"/>
          <w:sz w:val="24"/>
          <w:szCs w:val="24"/>
        </w:rPr>
        <w:t xml:space="preserve"> </w:t>
      </w:r>
      <w:r w:rsidR="004F22A5">
        <w:rPr>
          <w:rFonts w:ascii="Book Antiqua" w:hAnsi="Book Antiqua"/>
          <w:sz w:val="24"/>
          <w:szCs w:val="24"/>
        </w:rPr>
        <w:fldChar w:fldCharType="begin" w:fldLock="1"/>
      </w:r>
      <w:r w:rsidR="004F22A5">
        <w:rPr>
          <w:rFonts w:ascii="Book Antiqua" w:hAnsi="Book Antiqua"/>
          <w:sz w:val="24"/>
          <w:szCs w:val="24"/>
        </w:rPr>
        <w:instrText>ADDIN CSL_CITATION {"citationItems":[{"id":"ITEM-1","itemData":{"DOI":"10.1016/j.childyouth.2020.105092","ISSN":"01907409","author":[{"dropping-particle":"","family":"Suharno","given":"","non-dropping-particle":"","parse-names":false,"suffix":""},{"dropping-particle":"","family":"Pambudi","given":"Nugroho Agung","non-dropping-particle":"","parse-names":false,"suffix":""},{"dropping-particle":"","family":"Harjanto","given":"Budi","non-dropping-particle":"","parse-names":false,"suffix":""}],"container-title":"Children and Youth Services Review","id":"ITEM-1","issued":{"date-parts":[["2020","8"]]},"page":"105092","title":"Vocational education in Indonesia: History, development, opportunities, and challenges","type":"article-journal","volume":"115"},"uris":["http://www.mendeley.com/documents/?uuid=4e0db60c-0cd9-3f09-9a2d-bd3fa25f5a8f"]}],"mendeley":{"formattedCitation":"(Suharno et al., 2020)","plainTextFormattedCitation":"(Suharno et al., 2020)","previouslyFormattedCitation":"(Suharno et al., 2020)"},"properties":{"noteIndex":0},"schema":"https://github.com/citation-style-language/schema/raw/master/csl-citation.json"}</w:instrText>
      </w:r>
      <w:r w:rsidR="004F22A5">
        <w:rPr>
          <w:rFonts w:ascii="Book Antiqua" w:hAnsi="Book Antiqua"/>
          <w:sz w:val="24"/>
          <w:szCs w:val="24"/>
        </w:rPr>
        <w:fldChar w:fldCharType="separate"/>
      </w:r>
      <w:r w:rsidR="004F22A5" w:rsidRPr="004F22A5">
        <w:rPr>
          <w:rFonts w:ascii="Book Antiqua" w:hAnsi="Book Antiqua"/>
          <w:noProof/>
          <w:sz w:val="24"/>
          <w:szCs w:val="24"/>
        </w:rPr>
        <w:t>(Suharno et al., 2020)</w:t>
      </w:r>
      <w:r w:rsidR="004F22A5">
        <w:rPr>
          <w:rFonts w:ascii="Book Antiqua" w:hAnsi="Book Antiqua"/>
          <w:sz w:val="24"/>
          <w:szCs w:val="24"/>
        </w:rPr>
        <w:fldChar w:fldCharType="end"/>
      </w:r>
      <w:r w:rsidRPr="00B66775">
        <w:rPr>
          <w:rFonts w:ascii="Book Antiqua" w:hAnsi="Book Antiqua"/>
          <w:sz w:val="24"/>
          <w:szCs w:val="24"/>
        </w:rPr>
        <w:t>. To determine the success of students, schools must set a standard of completion called learning completion in accordance with the National Education Standards Agency</w:t>
      </w:r>
      <w:r w:rsidR="004F22A5">
        <w:rPr>
          <w:rFonts w:ascii="Book Antiqua" w:hAnsi="Book Antiqua"/>
          <w:sz w:val="24"/>
          <w:szCs w:val="24"/>
        </w:rPr>
        <w:t xml:space="preserve"> </w:t>
      </w:r>
      <w:r w:rsidR="004F22A5">
        <w:rPr>
          <w:rFonts w:ascii="Book Antiqua" w:hAnsi="Book Antiqua"/>
          <w:sz w:val="24"/>
          <w:szCs w:val="24"/>
        </w:rPr>
        <w:fldChar w:fldCharType="begin" w:fldLock="1"/>
      </w:r>
      <w:r w:rsidR="00C54307">
        <w:rPr>
          <w:rFonts w:ascii="Book Antiqua" w:hAnsi="Book Antiqua"/>
          <w:sz w:val="24"/>
          <w:szCs w:val="24"/>
        </w:rPr>
        <w:instrText>ADDIN CSL_CITATION {"citationItems":[{"id":"ITEM-1","itemData":{"DOI":"10.29333/ejecs/388","ISSN":"2149-1291","abstract":"&lt;p&gt;This study explores the perceptions of primary school teachers of online learning in a program developed in Indonesia called School from Home during the COVID-19 Pandemic. Data were collected through surveys and semi-structured interviews with 67 class teachers in primary schools. Data analysis used thematic analysis of qualitative data. The analysis results found four main themes, namely, instructional strategies, challenges, support, and motivation of teachers. This research contributes to the literature of online collaborative learning between teachers, parents, and schools that impact student success. Broadly, the success of online learning in Indonesia during the COVID-19 Pandemic was determined by the readiness of technology in line with the national humanist curriculum, support and collaboration from all stakeholders, including government, schools, teachers, parents and the community.&lt;/p&gt;","author":[{"dropping-particle":"","family":"Rasmitadila","given":"Rasmitadila","non-dropping-particle":"","parse-names":false,"suffix":""},{"dropping-particle":"","family":"Aliyyah","given":"Rusi Rusmiati","non-dropping-particle":"","parse-names":false,"suffix":""},{"dropping-particle":"","family":"Rachmadtullah","given":"Reza","non-dropping-particle":"","parse-names":false,"suffix":""},{"dropping-particle":"","family":"Samsudin","given":"Achmad","non-dropping-particle":"","parse-names":false,"suffix":""},{"dropping-particle":"","family":"Syaodih","given":"Ernawulan","non-dropping-particle":"","parse-names":false,"suffix":""},{"dropping-particle":"","family":"Nurtanto","given":"Muhammad","non-dropping-particle":"","parse-names":false,"suffix":""},{"dropping-particle":"","family":"Tambunan","given":"Anna Riana Suryanti","non-dropping-particle":"","parse-names":false,"suffix":""}],"container-title":"Journal of Ethnic and Cultural Studies","id":"ITEM-1","issued":{"date-parts":[["2020","7","11"]]},"page":"90-109","title":"The Perceptions of Primary School Teachers of Online Learning during the COVID-19 Pandemic Period: A Case Study in Indonesia","type":"article-journal"},"uris":["http://www.mendeley.com/documents/?uuid=34a31598-b1cd-3b07-941d-b3b0fd8eabb1"]}],"mendeley":{"formattedCitation":"(Rasmitadila et al., 2020)","plainTextFormattedCitation":"(Rasmitadila et al., 2020)","previouslyFormattedCitation":"(Rasmitadila et al., 2020)"},"properties":{"noteIndex":0},"schema":"https://github.com/citation-style-language/schema/raw/master/csl-citation.json"}</w:instrText>
      </w:r>
      <w:r w:rsidR="004F22A5">
        <w:rPr>
          <w:rFonts w:ascii="Book Antiqua" w:hAnsi="Book Antiqua"/>
          <w:sz w:val="24"/>
          <w:szCs w:val="24"/>
        </w:rPr>
        <w:fldChar w:fldCharType="separate"/>
      </w:r>
      <w:r w:rsidR="004F22A5" w:rsidRPr="004F22A5">
        <w:rPr>
          <w:rFonts w:ascii="Book Antiqua" w:hAnsi="Book Antiqua"/>
          <w:noProof/>
          <w:sz w:val="24"/>
          <w:szCs w:val="24"/>
        </w:rPr>
        <w:t>(Rasmitadila et al., 2020)</w:t>
      </w:r>
      <w:r w:rsidR="004F22A5">
        <w:rPr>
          <w:rFonts w:ascii="Book Antiqua" w:hAnsi="Book Antiqua"/>
          <w:sz w:val="24"/>
          <w:szCs w:val="24"/>
        </w:rPr>
        <w:fldChar w:fldCharType="end"/>
      </w:r>
      <w:r w:rsidRPr="00B66775">
        <w:rPr>
          <w:rFonts w:ascii="Book Antiqua" w:hAnsi="Book Antiqua"/>
          <w:sz w:val="24"/>
          <w:szCs w:val="24"/>
        </w:rPr>
        <w:t>.</w:t>
      </w:r>
      <w:r w:rsidR="004F22A5">
        <w:rPr>
          <w:rFonts w:ascii="Book Antiqua" w:hAnsi="Book Antiqua"/>
          <w:sz w:val="24"/>
          <w:szCs w:val="24"/>
        </w:rPr>
        <w:t xml:space="preserve"> </w:t>
      </w:r>
      <w:r w:rsidRPr="00B66775">
        <w:rPr>
          <w:rFonts w:ascii="Book Antiqua" w:hAnsi="Book Antiqua"/>
          <w:sz w:val="24"/>
          <w:szCs w:val="24"/>
        </w:rPr>
        <w:t>To normalize the learning process, the vocational learning stage emphasizes the formation of student skills through learning activities by practicing</w:t>
      </w:r>
      <w:r w:rsidR="00C54307">
        <w:rPr>
          <w:rFonts w:ascii="Book Antiqua" w:hAnsi="Book Antiqua"/>
          <w:sz w:val="24"/>
          <w:szCs w:val="24"/>
        </w:rPr>
        <w:t xml:space="preserve"> </w:t>
      </w:r>
      <w:r w:rsidR="00C54307">
        <w:rPr>
          <w:rFonts w:ascii="Book Antiqua" w:hAnsi="Book Antiqua"/>
          <w:sz w:val="24"/>
          <w:szCs w:val="24"/>
        </w:rPr>
        <w:fldChar w:fldCharType="begin" w:fldLock="1"/>
      </w:r>
      <w:r w:rsidR="00EA136E">
        <w:rPr>
          <w:rFonts w:ascii="Book Antiqua" w:hAnsi="Book Antiqua"/>
          <w:sz w:val="24"/>
          <w:szCs w:val="24"/>
        </w:rPr>
        <w:instrText>ADDIN CSL_CITATION {"citationItems":[{"id":"ITEM-1","itemData":{"DOI":"10.1088/1757-899X/830/2/022065","ISSN":"1757-8981","abstract":"&lt;p&gt;Instead of reducing the unemployment rate, Center Berau of Statistic (BPS) 2018 data shows that Vocational High School (SMK) graduates contribute high to the number of unemployed in Indonesia. The high number of unemployed is partly due to the low technical skills and transferable skills of students. Transferable skills are considered very important to strengthen and complement technical skills, amid the disruption of the world of work in the industrial era 4.0. In order to strengthen transferable skills, innovative learning methods are needed, which involve active student participation. The One Group Pretest-Posttest experimental research was conducted to find out the increase in transferable skills of SMK X students in the Building Design and Information Design Study Program (DPIB), through the implementation of project-based learning methods. The results of the gain index analysis, hypothesis testing, and observation results indicate that the application of project-based learning methods can improve the transferable skills of vocational students.&lt;/p&gt;","author":[{"dropping-particle":"","family":"Astarina","given":"S","non-dropping-particle":"","parse-names":false,"suffix":""},{"dropping-particle":"","family":"Barliana","given":"M S","non-dropping-particle":"","parse-names":false,"suffix":""},{"dropping-particle":"","family":"Permana","given":"D C","non-dropping-particle":"","parse-names":false,"suffix":""}],"container-title":"IOP Conference Series: Materials Science and Engineering","id":"ITEM-1","issue":"2","issued":{"date-parts":[["2020","4","1"]]},"page":"022065","title":"Implementation of project-based learning method to increase transferable skills of vocational high school students","type":"article-journal","volume":"830"},"uris":["http://www.mendeley.com/documents/?uuid=f8fd7d6a-92e2-33cb-9cb3-c22f240e7b57"]}],"mendeley":{"formattedCitation":"(Astarina et al., 2020)","plainTextFormattedCitation":"(Astarina et al., 2020)","previouslyFormattedCitation":"(Astarina et al., 2020)"},"properties":{"noteIndex":0},"schema":"https://github.com/citation-style-language/schema/raw/master/csl-citation.json"}</w:instrText>
      </w:r>
      <w:r w:rsidR="00C54307">
        <w:rPr>
          <w:rFonts w:ascii="Book Antiqua" w:hAnsi="Book Antiqua"/>
          <w:sz w:val="24"/>
          <w:szCs w:val="24"/>
        </w:rPr>
        <w:fldChar w:fldCharType="separate"/>
      </w:r>
      <w:r w:rsidR="00C54307" w:rsidRPr="00C54307">
        <w:rPr>
          <w:rFonts w:ascii="Book Antiqua" w:hAnsi="Book Antiqua"/>
          <w:noProof/>
          <w:sz w:val="24"/>
          <w:szCs w:val="24"/>
        </w:rPr>
        <w:t>(Astarina et al., 2020)</w:t>
      </w:r>
      <w:r w:rsidR="00C54307">
        <w:rPr>
          <w:rFonts w:ascii="Book Antiqua" w:hAnsi="Book Antiqua"/>
          <w:sz w:val="24"/>
          <w:szCs w:val="24"/>
        </w:rPr>
        <w:fldChar w:fldCharType="end"/>
      </w:r>
      <w:r w:rsidRPr="00B66775">
        <w:rPr>
          <w:rFonts w:ascii="Book Antiqua" w:hAnsi="Book Antiqua"/>
          <w:sz w:val="24"/>
          <w:szCs w:val="24"/>
        </w:rPr>
        <w:t>. The national education subsystem of vocational high schools must prioritize the preparation of students with the skills needed to make the right career choices, enter the world of work, compete, and succeed in a job market that continues to grow and is dynamic</w:t>
      </w:r>
      <w:r>
        <w:rPr>
          <w:rFonts w:ascii="Book Antiqua" w:hAnsi="Book Antiqua"/>
          <w:sz w:val="24"/>
          <w:szCs w:val="24"/>
        </w:rPr>
        <w:t xml:space="preserve"> </w:t>
      </w:r>
      <w:r w:rsidRPr="00B66775">
        <w:rPr>
          <w:rFonts w:ascii="Book Antiqua" w:eastAsia="Times New Roman" w:hAnsi="Book Antiqua" w:cs="Arial"/>
          <w:sz w:val="24"/>
          <w:szCs w:val="24"/>
        </w:rPr>
        <w:fldChar w:fldCharType="begin" w:fldLock="1"/>
      </w:r>
      <w:r w:rsidR="0037269C">
        <w:rPr>
          <w:rFonts w:ascii="Book Antiqua" w:eastAsia="Times New Roman" w:hAnsi="Book Antiqua" w:cs="Arial"/>
          <w:sz w:val="24"/>
          <w:szCs w:val="24"/>
        </w:rPr>
        <w:instrText>ADDIN CSL_CITATION {"citationItems":[{"id":"ITEM-1","itemData":{"DOI":"https://doi.org/10.31004/joe.v6i1.4175","author":[{"dropping-particle":"","family":"Rizqiyana","given":"Aula","non-dropping-particle":"","parse-names":false,"suffix":""},{"dropping-particle":"","family":"Fatkhurrokhman","given":"Mohammad","non-dropping-particle":"","parse-names":false,"suffix":""},{"dropping-particle":"","family":"Hamid","given":"Mustofa Abi","non-dropping-particle":"","parse-names":false,"suffix":""}],"container-title":"Journal on Education","id":"ITEM-1","issue":"1","issued":{"date-parts":[["2023"]]},"page":"7797-7811","title":"Strategi Guru dalam Proses Pembelajaran Praktik Mata Pelajaran Produktif di Sekolah Menengah Kejuruan","type":"article-journal","volume":"6"},"uris":["http://www.mendeley.com/documents/?uuid=b23bd580-a137-4d8f-b9c9-aa4916826585","http://www.mendeley.com/documents/?uuid=b4e6e6d3-2def-4993-850f-44adb56e1083"]}],"mendeley":{"formattedCitation":"(Rizqiyana et al., 2023)","plainTextFormattedCitation":"(Rizqiyana et al., 2023)","previouslyFormattedCitation":"(Rizqiyana et al., 2023)"},"properties":{"noteIndex":0},"schema":"https://github.com/citation-style-language/schema/raw/master/csl-citation.json"}</w:instrText>
      </w:r>
      <w:r w:rsidRPr="00B66775">
        <w:rPr>
          <w:rFonts w:ascii="Book Antiqua" w:eastAsia="Times New Roman" w:hAnsi="Book Antiqua" w:cs="Arial"/>
          <w:sz w:val="24"/>
          <w:szCs w:val="24"/>
        </w:rPr>
        <w:fldChar w:fldCharType="separate"/>
      </w:r>
      <w:r w:rsidRPr="00B66775">
        <w:rPr>
          <w:rFonts w:ascii="Book Antiqua" w:eastAsia="Times New Roman" w:hAnsi="Book Antiqua" w:cs="Arial"/>
          <w:noProof/>
          <w:sz w:val="24"/>
          <w:szCs w:val="24"/>
        </w:rPr>
        <w:t>(Rizqiyana et al., 2023)</w:t>
      </w:r>
      <w:r w:rsidRPr="00B66775">
        <w:rPr>
          <w:rFonts w:ascii="Book Antiqua" w:eastAsia="Times New Roman" w:hAnsi="Book Antiqua" w:cs="Arial"/>
          <w:sz w:val="24"/>
          <w:szCs w:val="24"/>
        </w:rPr>
        <w:fldChar w:fldCharType="end"/>
      </w:r>
      <w:r>
        <w:rPr>
          <w:rFonts w:ascii="Book Antiqua" w:eastAsia="Times New Roman" w:hAnsi="Book Antiqua" w:cs="Arial"/>
          <w:sz w:val="24"/>
          <w:szCs w:val="24"/>
        </w:rPr>
        <w:t>.</w:t>
      </w:r>
      <w:r w:rsidRPr="00B66775">
        <w:rPr>
          <w:rFonts w:ascii="Book Antiqua" w:hAnsi="Book Antiqua"/>
          <w:sz w:val="24"/>
          <w:szCs w:val="24"/>
        </w:rPr>
        <w:t xml:space="preserve"> </w:t>
      </w:r>
    </w:p>
    <w:p w14:paraId="7F674FB6" w14:textId="77777777" w:rsidR="00B66775" w:rsidRDefault="00B66775" w:rsidP="00B66775">
      <w:pPr>
        <w:pStyle w:val="NoSpacing"/>
        <w:jc w:val="both"/>
        <w:rPr>
          <w:rFonts w:ascii="Book Antiqua" w:hAnsi="Book Antiqua"/>
          <w:sz w:val="24"/>
          <w:szCs w:val="24"/>
        </w:rPr>
      </w:pPr>
    </w:p>
    <w:p w14:paraId="3969F0B4" w14:textId="77777777" w:rsidR="00B66775" w:rsidRPr="00B66775" w:rsidRDefault="00B66775" w:rsidP="00B66775">
      <w:pPr>
        <w:pStyle w:val="NoSpacing"/>
        <w:jc w:val="both"/>
        <w:rPr>
          <w:rFonts w:ascii="Book Antiqua" w:hAnsi="Book Antiqua"/>
          <w:sz w:val="24"/>
          <w:szCs w:val="24"/>
        </w:rPr>
      </w:pPr>
      <w:r>
        <w:rPr>
          <w:rFonts w:ascii="Book Antiqua" w:hAnsi="Book Antiqua"/>
          <w:sz w:val="24"/>
          <w:szCs w:val="24"/>
        </w:rPr>
        <w:t>We</w:t>
      </w:r>
      <w:r w:rsidRPr="00B66775">
        <w:rPr>
          <w:rFonts w:ascii="Book Antiqua" w:hAnsi="Book Antiqua"/>
          <w:sz w:val="24"/>
          <w:szCs w:val="24"/>
        </w:rPr>
        <w:t xml:space="preserve"> conducted observations, collected data on the condition of the workshop/laboratory at Audio Video Engineering, SMK Negeri 2 </w:t>
      </w:r>
      <w:proofErr w:type="spellStart"/>
      <w:r w:rsidRPr="00B66775">
        <w:rPr>
          <w:rFonts w:ascii="Book Antiqua" w:hAnsi="Book Antiqua"/>
          <w:sz w:val="24"/>
          <w:szCs w:val="24"/>
        </w:rPr>
        <w:t>Kayuagung</w:t>
      </w:r>
      <w:proofErr w:type="spellEnd"/>
      <w:r w:rsidRPr="00B66775">
        <w:rPr>
          <w:rFonts w:ascii="Book Antiqua" w:hAnsi="Book Antiqua"/>
          <w:sz w:val="24"/>
          <w:szCs w:val="24"/>
        </w:rPr>
        <w:t xml:space="preserve">, and conducted direct interviews with teachers and students. The data obtained during the learning process was that there were still many students who were still passive and did not understand the material when carrying out the practice, still looking at their gadgets, some playing games, or whispering to each other, so they did not understand how to make good drawings and did not know electronic symbols, how to draw, change component values, </w:t>
      </w:r>
      <w:r w:rsidRPr="00B66775">
        <w:rPr>
          <w:rFonts w:ascii="Times New Roman" w:hAnsi="Times New Roman"/>
          <w:sz w:val="24"/>
          <w:szCs w:val="24"/>
        </w:rPr>
        <w:t>​​</w:t>
      </w:r>
      <w:r w:rsidRPr="00B66775">
        <w:rPr>
          <w:rFonts w:ascii="Book Antiqua" w:hAnsi="Book Antiqua"/>
          <w:sz w:val="24"/>
          <w:szCs w:val="24"/>
        </w:rPr>
        <w:t>and simulate aesthetics, techniques for adjusting line sizes, design models, and PCB layouts. The factor causing students to not master the material is the lack of computer facilities to carry out practice in the workshop; there are only 3 computers, while according to the Norms and Standards for Audio Video Engineering Competency Laboratories/Workshops</w:t>
      </w:r>
      <w:r w:rsidR="00EC6F23">
        <w:rPr>
          <w:rFonts w:ascii="Book Antiqua" w:hAnsi="Book Antiqua"/>
          <w:sz w:val="24"/>
          <w:szCs w:val="24"/>
        </w:rPr>
        <w:t xml:space="preserve">, </w:t>
      </w:r>
      <w:r w:rsidRPr="00B66775">
        <w:rPr>
          <w:rFonts w:ascii="Book Antiqua" w:hAnsi="Book Antiqua"/>
          <w:sz w:val="24"/>
          <w:szCs w:val="24"/>
        </w:rPr>
        <w:t>the number of computers in one practice room is 36 units</w:t>
      </w:r>
      <w:r w:rsidR="00EC6F23">
        <w:rPr>
          <w:rFonts w:ascii="Book Antiqua" w:hAnsi="Book Antiqua"/>
          <w:sz w:val="24"/>
          <w:szCs w:val="24"/>
        </w:rPr>
        <w:t xml:space="preserve"> </w:t>
      </w:r>
      <w:sdt>
        <w:sdtPr>
          <w:rPr>
            <w:rFonts w:ascii="Book Antiqua" w:hAnsi="Book Antiqua" w:cs="Arial"/>
            <w:sz w:val="24"/>
            <w:szCs w:val="24"/>
            <w:lang w:val="id-ID"/>
          </w:rPr>
          <w:id w:val="-2024003069"/>
          <w:citation/>
        </w:sdtPr>
        <w:sdtEndPr/>
        <w:sdtContent>
          <w:r w:rsidR="00EC6F23" w:rsidRPr="00366BCF">
            <w:rPr>
              <w:rFonts w:ascii="Book Antiqua" w:hAnsi="Book Antiqua" w:cs="Arial"/>
              <w:sz w:val="24"/>
              <w:szCs w:val="24"/>
              <w:lang w:val="id-ID"/>
            </w:rPr>
            <w:fldChar w:fldCharType="begin"/>
          </w:r>
          <w:r w:rsidR="00EC6F23" w:rsidRPr="00366BCF">
            <w:rPr>
              <w:rFonts w:ascii="Book Antiqua" w:hAnsi="Book Antiqua" w:cs="Arial"/>
              <w:sz w:val="24"/>
              <w:szCs w:val="24"/>
              <w:lang w:val="id-ID"/>
            </w:rPr>
            <w:instrText xml:space="preserve"> CITATION Efe21 \l 1057 </w:instrText>
          </w:r>
          <w:r w:rsidR="00EC6F23" w:rsidRPr="00366BCF">
            <w:rPr>
              <w:rFonts w:ascii="Book Antiqua" w:hAnsi="Book Antiqua" w:cs="Arial"/>
              <w:sz w:val="24"/>
              <w:szCs w:val="24"/>
              <w:lang w:val="id-ID"/>
            </w:rPr>
            <w:fldChar w:fldCharType="separate"/>
          </w:r>
          <w:r w:rsidR="00EC6F23" w:rsidRPr="00366BCF">
            <w:rPr>
              <w:rFonts w:ascii="Book Antiqua" w:hAnsi="Book Antiqua" w:cs="Arial"/>
              <w:noProof/>
              <w:sz w:val="24"/>
              <w:szCs w:val="24"/>
              <w:lang w:val="id-ID"/>
            </w:rPr>
            <w:t>(Efendi, 2021)</w:t>
          </w:r>
          <w:r w:rsidR="00EC6F23" w:rsidRPr="00366BCF">
            <w:rPr>
              <w:rFonts w:ascii="Book Antiqua" w:hAnsi="Book Antiqua" w:cs="Arial"/>
              <w:sz w:val="24"/>
              <w:szCs w:val="24"/>
              <w:lang w:val="id-ID"/>
            </w:rPr>
            <w:fldChar w:fldCharType="end"/>
          </w:r>
        </w:sdtContent>
      </w:sdt>
      <w:r w:rsidRPr="00B66775">
        <w:rPr>
          <w:rFonts w:ascii="Book Antiqua" w:hAnsi="Book Antiqua"/>
          <w:sz w:val="24"/>
          <w:szCs w:val="24"/>
        </w:rPr>
        <w:t>. The existence of facilities and infrastructure will increase student motivation in learning and can help teachers in the learning process</w:t>
      </w:r>
      <w:r w:rsidR="00EC6F23">
        <w:rPr>
          <w:rFonts w:ascii="Book Antiqua" w:hAnsi="Book Antiqua"/>
          <w:sz w:val="24"/>
          <w:szCs w:val="24"/>
        </w:rPr>
        <w:t xml:space="preserve"> </w:t>
      </w:r>
      <w:r w:rsidR="00EC6F23" w:rsidRPr="00EC6F23">
        <w:rPr>
          <w:rFonts w:ascii="Book Antiqua" w:hAnsi="Book Antiqua"/>
          <w:sz w:val="24"/>
          <w:szCs w:val="24"/>
        </w:rPr>
        <w:fldChar w:fldCharType="begin" w:fldLock="1"/>
      </w:r>
      <w:r w:rsidR="0037269C">
        <w:rPr>
          <w:rFonts w:ascii="Book Antiqua" w:hAnsi="Book Antiqua"/>
          <w:sz w:val="24"/>
          <w:szCs w:val="24"/>
        </w:rPr>
        <w:instrText>ADDIN CSL_CITATION {"citationItems":[{"id":"ITEM-1","itemData":{"DOI":"https://doi.org/10.31004/jptam.v7i3.12045","abstract":"Sarana dan prasarana merupakan salah satu faktor yang dapat meningkatkan mutu pendidikan di sekolah, akan tetapi masih terdapat beberapa sekolah yang masih kurang memberikan perhatian dan menganggap tidak penting akan keberadaan sarana dan prasarana di sekolah. Penulisan artikel ini bertujuan untuk memberikan pandangan dan konsep kepada pengelola pendidikan agar lebih peduli lagi akan ketersediaan sarana dan prasarana di sekolah untuk membantu mempermudah penyelenggaraan pendidikan dan untuk mencapai tujuan yang akan dicapai. Metode yang digunakan dalam penelitian ini adalah studi literatur yakni metode yang identik dengan pengetahuan data dengan cara membaca, menuliskan, dan mengolah data yang diperlukan melalui buku, artikel, yang telah diterbitkan baik nasional maupun internasional. Dari penelitian ini dapat disimpulkan bahwa keberadaan sarana dan prasarana di sekolah sangat penting karena selain membantu menunjang penyelenggaraan pendidikan keberadaan sarana dan prasarana juga dapat membantu guru dalam penyampaian pembelajaran dan dapat membantu meningkatkan motivasi, hasil belajar dan prestasi peserta didik dan meningkatkan mutu pendidikan di sekolah","author":[{"dropping-particle":"","family":"Lisnawati","given":"Ai","non-dropping-particle":"","parse-names":false,"suffix":""},{"dropping-particle":"","family":"Auliadi","given":"","non-dropping-particle":"","parse-names":false,"suffix":""},{"dropping-particle":"","family":"Adhari","given":"Febby Nur","non-dropping-particle":"","parse-names":false,"suffix":""},{"dropping-particle":"","family":"Hanipah","given":"Rika","non-dropping-particle":"","parse-names":false,"suffix":""},{"dropping-particle":"","family":"Rostika","given":"Deti","non-dropping-particle":"","parse-names":false,"suffix":""}],"container-title":"Jurnal Pendidikan Tambusai","id":"ITEM-1","issue":"3","issued":{"date-parts":[["2023"]]},"page":"30987-30993","title":"Problematika Sarana Prasarana dalam Pembelajaran di Sekolah Dasar","type":"article-journal","volume":"7"},"uris":["http://www.mendeley.com/documents/?uuid=5173e789-3984-4273-9374-7103b500afb0","http://www.mendeley.com/documents/?uuid=89e0a1b1-c4cc-4336-967c-90ae68a19288"]}],"mendeley":{"formattedCitation":"(Lisnawati et al., 2023)","plainTextFormattedCitation":"(Lisnawati et al., 2023)","previouslyFormattedCitation":"(Lisnawati et al., 2023)"},"properties":{"noteIndex":0},"schema":"https://github.com/citation-style-language/schema/raw/master/csl-citation.json"}</w:instrText>
      </w:r>
      <w:r w:rsidR="00EC6F23" w:rsidRPr="00EC6F23">
        <w:rPr>
          <w:rFonts w:ascii="Book Antiqua" w:hAnsi="Book Antiqua"/>
          <w:sz w:val="24"/>
          <w:szCs w:val="24"/>
        </w:rPr>
        <w:fldChar w:fldCharType="separate"/>
      </w:r>
      <w:r w:rsidR="00EC6F23" w:rsidRPr="00EC6F23">
        <w:rPr>
          <w:rFonts w:ascii="Book Antiqua" w:hAnsi="Book Antiqua"/>
          <w:noProof/>
          <w:sz w:val="24"/>
          <w:szCs w:val="24"/>
        </w:rPr>
        <w:t>(Lisnawati et al., 2023)</w:t>
      </w:r>
      <w:r w:rsidR="00EC6F23" w:rsidRPr="00EC6F23">
        <w:rPr>
          <w:rFonts w:ascii="Book Antiqua" w:hAnsi="Book Antiqua"/>
          <w:sz w:val="24"/>
          <w:szCs w:val="24"/>
        </w:rPr>
        <w:fldChar w:fldCharType="end"/>
      </w:r>
      <w:r w:rsidRPr="00B66775">
        <w:rPr>
          <w:rFonts w:ascii="Book Antiqua" w:hAnsi="Book Antiqua"/>
          <w:sz w:val="24"/>
          <w:szCs w:val="24"/>
        </w:rPr>
        <w:t>.</w:t>
      </w:r>
    </w:p>
    <w:p w14:paraId="1B5522E3" w14:textId="77777777" w:rsidR="005D467D" w:rsidRPr="005D467D" w:rsidRDefault="005D467D" w:rsidP="005D467D">
      <w:pPr>
        <w:pStyle w:val="NoSpacing"/>
        <w:jc w:val="both"/>
        <w:rPr>
          <w:rFonts w:ascii="Book Antiqua" w:hAnsi="Book Antiqua"/>
          <w:sz w:val="24"/>
          <w:szCs w:val="24"/>
        </w:rPr>
      </w:pPr>
      <w:r w:rsidRPr="005D467D">
        <w:rPr>
          <w:rFonts w:ascii="Book Antiqua" w:hAnsi="Book Antiqua"/>
          <w:sz w:val="24"/>
          <w:szCs w:val="24"/>
        </w:rPr>
        <w:lastRenderedPageBreak/>
        <w:t xml:space="preserve">So far, productive teachers have teaching materials in the form of learning modules and </w:t>
      </w:r>
      <w:proofErr w:type="spellStart"/>
      <w:r w:rsidRPr="005D467D">
        <w:rPr>
          <w:rFonts w:ascii="Book Antiqua" w:hAnsi="Book Antiqua"/>
          <w:sz w:val="24"/>
          <w:szCs w:val="24"/>
        </w:rPr>
        <w:t>jobsheets</w:t>
      </w:r>
      <w:proofErr w:type="spellEnd"/>
      <w:r w:rsidRPr="005D467D">
        <w:rPr>
          <w:rFonts w:ascii="Book Antiqua" w:hAnsi="Book Antiqua"/>
          <w:sz w:val="24"/>
          <w:szCs w:val="24"/>
        </w:rPr>
        <w:t xml:space="preserve"> that are used as a guide for student practice in learning</w:t>
      </w:r>
      <w:r w:rsidR="00EA136E">
        <w:rPr>
          <w:rFonts w:ascii="Book Antiqua" w:hAnsi="Book Antiqua"/>
          <w:sz w:val="24"/>
          <w:szCs w:val="24"/>
        </w:rPr>
        <w:t xml:space="preserve"> </w:t>
      </w:r>
      <w:r w:rsidR="00EA136E">
        <w:rPr>
          <w:rFonts w:ascii="Book Antiqua" w:hAnsi="Book Antiqua"/>
          <w:sz w:val="24"/>
          <w:szCs w:val="24"/>
        </w:rPr>
        <w:fldChar w:fldCharType="begin" w:fldLock="1"/>
      </w:r>
      <w:r w:rsidR="00EA136E">
        <w:rPr>
          <w:rFonts w:ascii="Book Antiqua" w:hAnsi="Book Antiqua"/>
          <w:sz w:val="24"/>
          <w:szCs w:val="24"/>
        </w:rPr>
        <w:instrText>ADDIN CSL_CITATION {"citationItems":[{"id":"ITEM-1","itemData":{"DOI":"10.37680/qalamuna.v14i2.3145","ISSN":"2656-9779","abstract":"&lt;p&gt;This study explores the role of teaching material products and job sheets in the implementation of project-based learning at SMK Mikael Surakarta. This type of research is qualitative research with a case study method. Data collection techniques through observation, documentation, and interviews. The research design uses an ethnographic design. Informants as resource persons were vice principals in the field of curriculum, heads of machining engineering competency skills, heads of production units, and teachers of machining engineering practice. The data that has been collected is then analyzed through data reduction, data presentation, and conclusion. Validity testing uses source triangulation and technique triangulation. This research shows that schools can fulfill the procurement of equipment and materials in stages. Based on the findings, learning tools provide support for project-based learning in the form of (1) preparing job sheet documents as a learning tool for students during practice. The job sheet is in the form of material stages to achieve student competency targets. (2) ensure that the results of objects that students work on through the competency stages can be used as products with use value.&lt;/p&gt;","author":[{"dropping-particle":"","family":"Triyanto","given":"Triyanto","non-dropping-particle":"","parse-names":false,"suffix":""},{"dropping-particle":"","family":"Parno","given":"Parno","non-dropping-particle":"","parse-names":false,"suffix":""},{"dropping-particle":"","family":"Sukatiman","given":"Sukatiman","non-dropping-particle":"","parse-names":false,"suffix":""}],"container-title":"QALAMUNA: Jurnal Pendidikan, Sosial, dan Agama","id":"ITEM-1","issue":"2","issued":{"date-parts":[["2022","12","20"]]},"page":"311-322","title":"The Application of Job Sheet Teaching Material Products on Project-Based Learning at Vocational School Mikael Surakarta","type":"article-journal","volume":"14"},"uris":["http://www.mendeley.com/documents/?uuid=e7245f5d-5d0b-3b83-af5c-1cfc363f83bf"]}],"mendeley":{"formattedCitation":"(Triyanto et al., 2022)","plainTextFormattedCitation":"(Triyanto et al., 2022)","previouslyFormattedCitation":"(Triyanto et al., 2022)"},"properties":{"noteIndex":0},"schema":"https://github.com/citation-style-language/schema/raw/master/csl-citation.json"}</w:instrText>
      </w:r>
      <w:r w:rsidR="00EA136E">
        <w:rPr>
          <w:rFonts w:ascii="Book Antiqua" w:hAnsi="Book Antiqua"/>
          <w:sz w:val="24"/>
          <w:szCs w:val="24"/>
        </w:rPr>
        <w:fldChar w:fldCharType="separate"/>
      </w:r>
      <w:r w:rsidR="00EA136E" w:rsidRPr="00EA136E">
        <w:rPr>
          <w:rFonts w:ascii="Book Antiqua" w:hAnsi="Book Antiqua"/>
          <w:noProof/>
          <w:sz w:val="24"/>
          <w:szCs w:val="24"/>
        </w:rPr>
        <w:t>(Triyanto et al., 2022)</w:t>
      </w:r>
      <w:r w:rsidR="00EA136E">
        <w:rPr>
          <w:rFonts w:ascii="Book Antiqua" w:hAnsi="Book Antiqua"/>
          <w:sz w:val="24"/>
          <w:szCs w:val="24"/>
        </w:rPr>
        <w:fldChar w:fldCharType="end"/>
      </w:r>
      <w:r w:rsidRPr="005D467D">
        <w:rPr>
          <w:rFonts w:ascii="Book Antiqua" w:hAnsi="Book Antiqua"/>
          <w:sz w:val="24"/>
          <w:szCs w:val="24"/>
        </w:rPr>
        <w:t xml:space="preserve">. The obstacles to learning using existing teaching materials include the learning modules only being owned by the teacher, while during practice students are given </w:t>
      </w:r>
      <w:proofErr w:type="spellStart"/>
      <w:r w:rsidRPr="005D467D">
        <w:rPr>
          <w:rFonts w:ascii="Book Antiqua" w:hAnsi="Book Antiqua"/>
          <w:sz w:val="24"/>
          <w:szCs w:val="24"/>
        </w:rPr>
        <w:t>jobsheets</w:t>
      </w:r>
      <w:proofErr w:type="spellEnd"/>
      <w:r w:rsidR="00EA136E">
        <w:rPr>
          <w:rFonts w:ascii="Book Antiqua" w:hAnsi="Book Antiqua"/>
          <w:sz w:val="24"/>
          <w:szCs w:val="24"/>
        </w:rPr>
        <w:t xml:space="preserve"> </w:t>
      </w:r>
      <w:r w:rsidR="00EA136E">
        <w:rPr>
          <w:rFonts w:ascii="Book Antiqua" w:hAnsi="Book Antiqua"/>
          <w:sz w:val="24"/>
          <w:szCs w:val="24"/>
        </w:rPr>
        <w:fldChar w:fldCharType="begin" w:fldLock="1"/>
      </w:r>
      <w:r w:rsidR="00E062F4">
        <w:rPr>
          <w:rFonts w:ascii="Book Antiqua" w:hAnsi="Book Antiqua"/>
          <w:sz w:val="24"/>
          <w:szCs w:val="24"/>
        </w:rPr>
        <w:instrText>ADDIN CSL_CITATION {"citationItems":[{"id":"ITEM-1","itemData":{"DOI":"10.21831/jpv.v10i1.29564","ISSN":"2476-9401","abstract":"&lt;p&gt;This study aims to develop learning tools for project-based light vehicle engine maintenance and describe the teacher's response to the application of project-based learning tools in light vehicle engine maintenance subjects. This research is a research and development (R&amp;amp;D) model with ADDIE. The ADDIE development model consists of analysis, design, development, implementation, and evaluation. The results showed that the products developed were valid in terms of validity, very practical criteria in practical aspects, and very high in effectiveness aspects which had a percentage of 86.67%. Researchers can conclude that project-based learning tools on light vehicle maintenance subjects are in accordance with valid, practical and effective criteria.&lt;/p&gt;","author":[{"dropping-particle":"","family":"Muslim","given":"Muslim","non-dropping-particle":"","parse-names":false,"suffix":""},{"dropping-particle":"","family":"Ambiyar","given":"Ambiyar","non-dropping-particle":"","parse-names":false,"suffix":""},{"dropping-particle":"","family":"Setiawan","given":"Dedi","non-dropping-particle":"","parse-names":false,"suffix":""},{"dropping-particle":"","family":"Putra","given":"Rido","non-dropping-particle":"","parse-names":false,"suffix":""}],"container-title":"Jurnal Pendidikan Vokasi","id":"ITEM-1","issue":"1","issued":{"date-parts":[["2020","4","2"]]},"title":"Developing project-based learning tools for light vehicle engine maintenance subjects at vocational high school","type":"article-journal","volume":"10"},"uris":["http://www.mendeley.com/documents/?uuid=44a70a26-ad9a-3de5-ab3c-4718a208113b"]}],"mendeley":{"formattedCitation":"(Muslim et al., 2020)","plainTextFormattedCitation":"(Muslim et al., 2020)","previouslyFormattedCitation":"(Muslim et al., 2020)"},"properties":{"noteIndex":0},"schema":"https://github.com/citation-style-language/schema/raw/master/csl-citation.json"}</w:instrText>
      </w:r>
      <w:r w:rsidR="00EA136E">
        <w:rPr>
          <w:rFonts w:ascii="Book Antiqua" w:hAnsi="Book Antiqua"/>
          <w:sz w:val="24"/>
          <w:szCs w:val="24"/>
        </w:rPr>
        <w:fldChar w:fldCharType="separate"/>
      </w:r>
      <w:r w:rsidR="00EA136E" w:rsidRPr="00EA136E">
        <w:rPr>
          <w:rFonts w:ascii="Book Antiqua" w:hAnsi="Book Antiqua"/>
          <w:noProof/>
          <w:sz w:val="24"/>
          <w:szCs w:val="24"/>
        </w:rPr>
        <w:t>(Muslim et al., 2020)</w:t>
      </w:r>
      <w:r w:rsidR="00EA136E">
        <w:rPr>
          <w:rFonts w:ascii="Book Antiqua" w:hAnsi="Book Antiqua"/>
          <w:sz w:val="24"/>
          <w:szCs w:val="24"/>
        </w:rPr>
        <w:fldChar w:fldCharType="end"/>
      </w:r>
      <w:r w:rsidRPr="005D467D">
        <w:rPr>
          <w:rFonts w:ascii="Book Antiqua" w:hAnsi="Book Antiqua"/>
          <w:sz w:val="24"/>
          <w:szCs w:val="24"/>
        </w:rPr>
        <w:t xml:space="preserve">. With </w:t>
      </w:r>
      <w:proofErr w:type="spellStart"/>
      <w:r w:rsidRPr="005D467D">
        <w:rPr>
          <w:rFonts w:ascii="Book Antiqua" w:hAnsi="Book Antiqua"/>
          <w:sz w:val="24"/>
          <w:szCs w:val="24"/>
        </w:rPr>
        <w:t>jobsheets</w:t>
      </w:r>
      <w:proofErr w:type="spellEnd"/>
      <w:r w:rsidRPr="005D467D">
        <w:rPr>
          <w:rFonts w:ascii="Book Antiqua" w:hAnsi="Book Antiqua"/>
          <w:sz w:val="24"/>
          <w:szCs w:val="24"/>
        </w:rPr>
        <w:t>, students still find it difficult to understand; to help the practice process, the teacher will demonstrate and repeat the explanation when there are students who do not understand and must be given one by one or in groups so that the time needed is longer to explain until students understand so that the work results are less than optimal.</w:t>
      </w:r>
      <w:r w:rsidR="003E0B06">
        <w:rPr>
          <w:rFonts w:ascii="Book Antiqua" w:hAnsi="Book Antiqua"/>
          <w:sz w:val="24"/>
          <w:szCs w:val="24"/>
        </w:rPr>
        <w:t xml:space="preserve"> T</w:t>
      </w:r>
      <w:r w:rsidRPr="005D467D">
        <w:rPr>
          <w:rFonts w:ascii="Book Antiqua" w:hAnsi="Book Antiqua"/>
          <w:sz w:val="24"/>
          <w:szCs w:val="24"/>
        </w:rPr>
        <w:t>he lack of application integration that allows direct simulation and implementation can be an obstacle in practical learning. To draw electronic circuits, students only draw manually using pencils, pens in books, and permanent markers on PCBs, so that the resulting images are not optimal in both shape and size, as seen in the image below.</w:t>
      </w:r>
    </w:p>
    <w:p w14:paraId="2C281936" w14:textId="77777777" w:rsidR="00D34087" w:rsidRDefault="005D467D" w:rsidP="00EA2995">
      <w:pPr>
        <w:shd w:val="clear" w:color="auto" w:fill="FFFFFF"/>
        <w:spacing w:after="0" w:line="240" w:lineRule="auto"/>
        <w:jc w:val="both"/>
        <w:rPr>
          <w:rFonts w:ascii="Book Antiqua" w:hAnsi="Book Antiqua" w:cs="Arial"/>
          <w:sz w:val="24"/>
          <w:szCs w:val="24"/>
        </w:rPr>
      </w:pPr>
      <w:r w:rsidRPr="00366BCF">
        <w:rPr>
          <w:rFonts w:ascii="Book Antiqua" w:hAnsi="Book Antiqua" w:cs="Arial"/>
          <w:noProof/>
          <w:sz w:val="24"/>
          <w:szCs w:val="24"/>
        </w:rPr>
        <w:drawing>
          <wp:anchor distT="0" distB="0" distL="114300" distR="114300" simplePos="0" relativeHeight="251658240" behindDoc="0" locked="0" layoutInCell="1" allowOverlap="1" wp14:anchorId="195BA5C2" wp14:editId="6BF2B753">
            <wp:simplePos x="0" y="0"/>
            <wp:positionH relativeFrom="column">
              <wp:posOffset>1098550</wp:posOffset>
            </wp:positionH>
            <wp:positionV relativeFrom="paragraph">
              <wp:posOffset>133985</wp:posOffset>
            </wp:positionV>
            <wp:extent cx="3395980" cy="1816735"/>
            <wp:effectExtent l="19050" t="19050" r="13970" b="12065"/>
            <wp:wrapNone/>
            <wp:docPr id="16" name="Picture 16" descr="D:\KULIAH S2\SEMESTER 2\TESIS\IMG_20240128_210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KULIAH S2\SEMESTER 2\TESIS\IMG_20240128_21070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180" r="2180"/>
                    <a:stretch/>
                  </pic:blipFill>
                  <pic:spPr bwMode="auto">
                    <a:xfrm>
                      <a:off x="0" y="0"/>
                      <a:ext cx="3395980" cy="181673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195BEFAE" w14:textId="77777777" w:rsidR="005D467D" w:rsidRPr="005D467D" w:rsidRDefault="005D467D" w:rsidP="00EA2995">
      <w:pPr>
        <w:shd w:val="clear" w:color="auto" w:fill="FFFFFF"/>
        <w:spacing w:after="0" w:line="240" w:lineRule="auto"/>
        <w:jc w:val="both"/>
        <w:rPr>
          <w:rFonts w:ascii="Book Antiqua" w:hAnsi="Book Antiqua" w:cs="Arial"/>
          <w:sz w:val="24"/>
          <w:szCs w:val="24"/>
        </w:rPr>
      </w:pPr>
    </w:p>
    <w:p w14:paraId="7706AF7D" w14:textId="77777777" w:rsidR="00D34087" w:rsidRPr="00366BCF" w:rsidRDefault="00D34087" w:rsidP="00EA2995">
      <w:pPr>
        <w:shd w:val="clear" w:color="auto" w:fill="FFFFFF"/>
        <w:spacing w:after="0" w:line="240" w:lineRule="auto"/>
        <w:jc w:val="both"/>
        <w:rPr>
          <w:rFonts w:ascii="Book Antiqua" w:hAnsi="Book Antiqua" w:cs="Arial"/>
          <w:sz w:val="24"/>
          <w:szCs w:val="24"/>
          <w:lang w:val="id-ID"/>
        </w:rPr>
      </w:pPr>
    </w:p>
    <w:p w14:paraId="568740F9" w14:textId="77777777" w:rsidR="005D467D" w:rsidRDefault="005D467D" w:rsidP="00EA2995">
      <w:pPr>
        <w:shd w:val="clear" w:color="auto" w:fill="FFFFFF"/>
        <w:spacing w:after="0" w:line="240" w:lineRule="auto"/>
        <w:jc w:val="both"/>
        <w:rPr>
          <w:rFonts w:ascii="Book Antiqua" w:hAnsi="Book Antiqua" w:cs="Arial"/>
          <w:sz w:val="24"/>
          <w:szCs w:val="24"/>
        </w:rPr>
      </w:pPr>
    </w:p>
    <w:p w14:paraId="1DD48652" w14:textId="77777777" w:rsidR="005D467D" w:rsidRDefault="005D467D" w:rsidP="00EA2995">
      <w:pPr>
        <w:shd w:val="clear" w:color="auto" w:fill="FFFFFF"/>
        <w:spacing w:after="0" w:line="240" w:lineRule="auto"/>
        <w:jc w:val="both"/>
        <w:rPr>
          <w:rFonts w:ascii="Book Antiqua" w:hAnsi="Book Antiqua" w:cs="Arial"/>
          <w:sz w:val="24"/>
          <w:szCs w:val="24"/>
        </w:rPr>
      </w:pPr>
    </w:p>
    <w:p w14:paraId="7D31C6E9" w14:textId="77777777" w:rsidR="005D467D" w:rsidRDefault="005D467D" w:rsidP="00EA2995">
      <w:pPr>
        <w:shd w:val="clear" w:color="auto" w:fill="FFFFFF"/>
        <w:spacing w:after="0" w:line="240" w:lineRule="auto"/>
        <w:jc w:val="both"/>
        <w:rPr>
          <w:rFonts w:ascii="Book Antiqua" w:hAnsi="Book Antiqua" w:cs="Arial"/>
          <w:sz w:val="24"/>
          <w:szCs w:val="24"/>
        </w:rPr>
      </w:pPr>
    </w:p>
    <w:p w14:paraId="79A8D1A7" w14:textId="77777777" w:rsidR="005D467D" w:rsidRDefault="005D467D" w:rsidP="00EA2995">
      <w:pPr>
        <w:shd w:val="clear" w:color="auto" w:fill="FFFFFF"/>
        <w:spacing w:after="0" w:line="240" w:lineRule="auto"/>
        <w:jc w:val="both"/>
        <w:rPr>
          <w:rFonts w:ascii="Book Antiqua" w:hAnsi="Book Antiqua" w:cs="Arial"/>
          <w:sz w:val="24"/>
          <w:szCs w:val="24"/>
        </w:rPr>
      </w:pPr>
    </w:p>
    <w:p w14:paraId="5C7FDAFE" w14:textId="77777777" w:rsidR="005D467D" w:rsidRDefault="005D467D" w:rsidP="00EA2995">
      <w:pPr>
        <w:shd w:val="clear" w:color="auto" w:fill="FFFFFF"/>
        <w:spacing w:after="0" w:line="240" w:lineRule="auto"/>
        <w:jc w:val="both"/>
        <w:rPr>
          <w:rFonts w:ascii="Book Antiqua" w:hAnsi="Book Antiqua" w:cs="Arial"/>
          <w:sz w:val="24"/>
          <w:szCs w:val="24"/>
        </w:rPr>
      </w:pPr>
    </w:p>
    <w:p w14:paraId="30012EB2" w14:textId="77777777" w:rsidR="005D467D" w:rsidRDefault="005D467D" w:rsidP="00EA2995">
      <w:pPr>
        <w:shd w:val="clear" w:color="auto" w:fill="FFFFFF"/>
        <w:spacing w:after="0" w:line="240" w:lineRule="auto"/>
        <w:jc w:val="both"/>
        <w:rPr>
          <w:rFonts w:ascii="Book Antiqua" w:hAnsi="Book Antiqua" w:cs="Arial"/>
          <w:sz w:val="24"/>
          <w:szCs w:val="24"/>
        </w:rPr>
      </w:pPr>
    </w:p>
    <w:p w14:paraId="38693623" w14:textId="77777777" w:rsidR="005D467D" w:rsidRDefault="005D467D" w:rsidP="00EA2995">
      <w:pPr>
        <w:shd w:val="clear" w:color="auto" w:fill="FFFFFF"/>
        <w:spacing w:after="0" w:line="240" w:lineRule="auto"/>
        <w:jc w:val="both"/>
        <w:rPr>
          <w:rFonts w:ascii="Book Antiqua" w:hAnsi="Book Antiqua" w:cs="Arial"/>
          <w:sz w:val="24"/>
          <w:szCs w:val="24"/>
        </w:rPr>
      </w:pPr>
    </w:p>
    <w:p w14:paraId="374E9D87" w14:textId="77777777" w:rsidR="005D467D" w:rsidRDefault="005D467D" w:rsidP="00EA2995">
      <w:pPr>
        <w:shd w:val="clear" w:color="auto" w:fill="FFFFFF"/>
        <w:spacing w:after="0" w:line="240" w:lineRule="auto"/>
        <w:jc w:val="both"/>
        <w:rPr>
          <w:rFonts w:ascii="Book Antiqua" w:hAnsi="Book Antiqua" w:cs="Arial"/>
          <w:sz w:val="24"/>
          <w:szCs w:val="24"/>
        </w:rPr>
      </w:pPr>
    </w:p>
    <w:p w14:paraId="5DFE2273" w14:textId="4AE6941F" w:rsidR="00D03700" w:rsidRPr="000A146E" w:rsidRDefault="00985843" w:rsidP="00EA2995">
      <w:pPr>
        <w:shd w:val="clear" w:color="auto" w:fill="FFFFFF"/>
        <w:spacing w:after="0" w:line="240" w:lineRule="auto"/>
        <w:jc w:val="center"/>
        <w:rPr>
          <w:rFonts w:ascii="Book Antiqua" w:hAnsi="Book Antiqua" w:cs="Arial"/>
          <w:b/>
          <w:sz w:val="24"/>
          <w:szCs w:val="24"/>
        </w:rPr>
      </w:pPr>
      <w:r>
        <w:rPr>
          <w:rFonts w:ascii="Book Antiqua" w:hAnsi="Book Antiqua" w:cs="Arial"/>
          <w:b/>
          <w:sz w:val="24"/>
          <w:szCs w:val="24"/>
        </w:rPr>
        <w:t>Figure</w:t>
      </w:r>
      <w:r w:rsidR="00D03700" w:rsidRPr="000A146E">
        <w:rPr>
          <w:rFonts w:ascii="Book Antiqua" w:hAnsi="Book Antiqua" w:cs="Arial"/>
          <w:b/>
          <w:sz w:val="24"/>
          <w:szCs w:val="24"/>
        </w:rPr>
        <w:t xml:space="preserve"> 1. Student</w:t>
      </w:r>
      <w:r w:rsidR="00DF1005">
        <w:rPr>
          <w:rFonts w:ascii="Book Antiqua" w:hAnsi="Book Antiqua" w:cs="Arial"/>
          <w:b/>
          <w:sz w:val="24"/>
          <w:szCs w:val="24"/>
        </w:rPr>
        <w:t>’</w:t>
      </w:r>
      <w:r w:rsidR="00D03700" w:rsidRPr="000A146E">
        <w:rPr>
          <w:rFonts w:ascii="Book Antiqua" w:hAnsi="Book Antiqua" w:cs="Arial"/>
          <w:b/>
          <w:sz w:val="24"/>
          <w:szCs w:val="24"/>
        </w:rPr>
        <w:t xml:space="preserve">s Manual Drawing Results </w:t>
      </w:r>
    </w:p>
    <w:p w14:paraId="797C90E2" w14:textId="77777777" w:rsidR="00C377F4" w:rsidRDefault="00C377F4" w:rsidP="00EA2995">
      <w:pPr>
        <w:shd w:val="clear" w:color="auto" w:fill="FFFFFF"/>
        <w:spacing w:after="0" w:line="240" w:lineRule="auto"/>
        <w:jc w:val="both"/>
        <w:rPr>
          <w:rFonts w:ascii="Book Antiqua" w:hAnsi="Book Antiqua" w:cs="Arial"/>
          <w:sz w:val="24"/>
          <w:szCs w:val="24"/>
        </w:rPr>
      </w:pPr>
    </w:p>
    <w:p w14:paraId="3ACF18A6" w14:textId="77777777" w:rsidR="004D40D1" w:rsidRPr="004D40D1" w:rsidRDefault="004D40D1" w:rsidP="004D40D1">
      <w:pPr>
        <w:pStyle w:val="NoSpacing"/>
        <w:jc w:val="both"/>
        <w:rPr>
          <w:rFonts w:ascii="Book Antiqua" w:hAnsi="Book Antiqua"/>
          <w:sz w:val="24"/>
          <w:szCs w:val="24"/>
        </w:rPr>
      </w:pPr>
      <w:r w:rsidRPr="004D40D1">
        <w:rPr>
          <w:rFonts w:ascii="Book Antiqua" w:hAnsi="Book Antiqua"/>
          <w:sz w:val="24"/>
          <w:szCs w:val="24"/>
        </w:rPr>
        <w:t>In order for the resulting image to be more accurate in terms of line size and the distance between one line and another line to look neat and the same size, there is an application called Livewire and PCB Wizard. This application is made in the form of a module so that it is easy for students to understand. Learning media is very important to increase students</w:t>
      </w:r>
      <w:r w:rsidR="00DF1005">
        <w:rPr>
          <w:rFonts w:ascii="Book Antiqua" w:hAnsi="Book Antiqua"/>
          <w:sz w:val="24"/>
          <w:szCs w:val="24"/>
        </w:rPr>
        <w:t>’</w:t>
      </w:r>
      <w:r w:rsidRPr="004D40D1">
        <w:rPr>
          <w:rFonts w:ascii="Book Antiqua" w:hAnsi="Book Antiqua"/>
          <w:sz w:val="24"/>
          <w:szCs w:val="24"/>
        </w:rPr>
        <w:t xml:space="preserve"> interest in learning. In delivering this application to students, learning videos are needed so that students can receive and absorb what is being conveyed from the livewire application so that students can produce better images.</w:t>
      </w:r>
    </w:p>
    <w:p w14:paraId="35F17D89" w14:textId="77777777" w:rsidR="00C469A2" w:rsidRPr="00366BCF" w:rsidRDefault="00C469A2" w:rsidP="00EA2995">
      <w:pPr>
        <w:shd w:val="clear" w:color="auto" w:fill="FFFFFF"/>
        <w:spacing w:after="0" w:line="240" w:lineRule="auto"/>
        <w:jc w:val="both"/>
        <w:rPr>
          <w:rFonts w:ascii="Book Antiqua" w:hAnsi="Book Antiqua" w:cs="Arial"/>
          <w:sz w:val="24"/>
          <w:szCs w:val="24"/>
        </w:rPr>
      </w:pPr>
    </w:p>
    <w:p w14:paraId="0C69B376" w14:textId="77777777" w:rsidR="004D40D1" w:rsidRPr="004D40D1" w:rsidRDefault="004D40D1" w:rsidP="004D40D1">
      <w:pPr>
        <w:pStyle w:val="NoSpacing"/>
        <w:jc w:val="both"/>
        <w:rPr>
          <w:rFonts w:ascii="Book Antiqua" w:hAnsi="Book Antiqua"/>
          <w:sz w:val="24"/>
          <w:szCs w:val="24"/>
        </w:rPr>
      </w:pPr>
      <w:r w:rsidRPr="004D40D1">
        <w:rPr>
          <w:rFonts w:ascii="Book Antiqua" w:hAnsi="Book Antiqua"/>
          <w:sz w:val="24"/>
          <w:szCs w:val="24"/>
        </w:rPr>
        <w:t xml:space="preserve">Ideally, an audio-video Video Engineering major school has a complete workshop with facilities and infrastructure. The gap that occurs is the lack of computers as a tool to use the livewire and PCB Wizard applications, but students can still use the existing computers in turns. The lack of facilities such as computers and laptops does not reduce the enthusiasm of </w:t>
      </w:r>
      <w:r w:rsidR="00852301">
        <w:rPr>
          <w:rFonts w:ascii="Book Antiqua" w:hAnsi="Book Antiqua"/>
          <w:sz w:val="24"/>
          <w:szCs w:val="24"/>
        </w:rPr>
        <w:t xml:space="preserve">us </w:t>
      </w:r>
      <w:r w:rsidRPr="004D40D1">
        <w:rPr>
          <w:rFonts w:ascii="Book Antiqua" w:hAnsi="Book Antiqua"/>
          <w:sz w:val="24"/>
          <w:szCs w:val="24"/>
        </w:rPr>
        <w:t>to continue teaching materials about sensors or other materials that can train students</w:t>
      </w:r>
      <w:r w:rsidR="00DF1005">
        <w:rPr>
          <w:rFonts w:ascii="Book Antiqua" w:hAnsi="Book Antiqua"/>
          <w:sz w:val="24"/>
          <w:szCs w:val="24"/>
        </w:rPr>
        <w:t>’</w:t>
      </w:r>
      <w:r w:rsidRPr="004D40D1">
        <w:rPr>
          <w:rFonts w:ascii="Book Antiqua" w:hAnsi="Book Antiqua"/>
          <w:sz w:val="24"/>
          <w:szCs w:val="24"/>
        </w:rPr>
        <w:t xml:space="preserve"> skills to make electronic products. Electronic products are produced through a process from making drawings or designs to the </w:t>
      </w:r>
      <w:r w:rsidRPr="004D40D1">
        <w:rPr>
          <w:rFonts w:ascii="Book Antiqua" w:hAnsi="Book Antiqua"/>
          <w:sz w:val="24"/>
          <w:szCs w:val="24"/>
        </w:rPr>
        <w:lastRenderedPageBreak/>
        <w:t>finished form or final result of a project. The learning objectives in the research that are to be achieved are so that students can make a picture of a sensor circuit.</w:t>
      </w:r>
    </w:p>
    <w:p w14:paraId="4E165C4E" w14:textId="77777777" w:rsidR="004D40D1" w:rsidRDefault="004D40D1" w:rsidP="00EA2995">
      <w:pPr>
        <w:shd w:val="clear" w:color="auto" w:fill="FFFFFF"/>
        <w:spacing w:after="0" w:line="240" w:lineRule="auto"/>
        <w:jc w:val="both"/>
        <w:rPr>
          <w:rFonts w:ascii="Book Antiqua" w:hAnsi="Book Antiqua" w:cs="Arial"/>
          <w:sz w:val="24"/>
          <w:szCs w:val="24"/>
        </w:rPr>
      </w:pPr>
    </w:p>
    <w:p w14:paraId="4ADFFD25" w14:textId="77777777" w:rsidR="00D34087" w:rsidRPr="00366BCF" w:rsidRDefault="00D34087" w:rsidP="00EA2995">
      <w:pPr>
        <w:shd w:val="clear" w:color="auto" w:fill="FFFFFF"/>
        <w:spacing w:after="0" w:line="240" w:lineRule="auto"/>
        <w:jc w:val="center"/>
        <w:rPr>
          <w:rFonts w:ascii="Book Antiqua" w:hAnsi="Book Antiqua" w:cs="Arial"/>
          <w:sz w:val="24"/>
          <w:szCs w:val="24"/>
        </w:rPr>
      </w:pPr>
      <w:r w:rsidRPr="00366BCF">
        <w:rPr>
          <w:rFonts w:ascii="Book Antiqua" w:hAnsi="Book Antiqua" w:cs="Arial"/>
          <w:noProof/>
          <w:sz w:val="24"/>
          <w:szCs w:val="24"/>
        </w:rPr>
        <w:drawing>
          <wp:inline distT="0" distB="0" distL="0" distR="0" wp14:anchorId="596FDFAA" wp14:editId="1D390BE2">
            <wp:extent cx="3014248" cy="1754505"/>
            <wp:effectExtent l="19050" t="19050" r="15240" b="17145"/>
            <wp:docPr id="17" name="Picture 17" descr="D:\KULIAH S2\SEMESTER 2\TESIS\IMG_20240116_105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KULIAH S2\SEMESTER 2\TESIS\IMG_20240116_10531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24905" cy="1760708"/>
                    </a:xfrm>
                    <a:prstGeom prst="rect">
                      <a:avLst/>
                    </a:prstGeom>
                    <a:noFill/>
                    <a:ln>
                      <a:solidFill>
                        <a:schemeClr val="tx1"/>
                      </a:solidFill>
                    </a:ln>
                  </pic:spPr>
                </pic:pic>
              </a:graphicData>
            </a:graphic>
          </wp:inline>
        </w:drawing>
      </w:r>
    </w:p>
    <w:p w14:paraId="0DFF41FF" w14:textId="2C7FFA9B" w:rsidR="004D40D1" w:rsidRDefault="00985843" w:rsidP="004D40D1">
      <w:pPr>
        <w:shd w:val="clear" w:color="auto" w:fill="FFFFFF"/>
        <w:spacing w:after="0" w:line="240" w:lineRule="auto"/>
        <w:jc w:val="center"/>
        <w:rPr>
          <w:rFonts w:ascii="Book Antiqua" w:hAnsi="Book Antiqua" w:cs="Arial"/>
          <w:b/>
          <w:sz w:val="24"/>
          <w:szCs w:val="24"/>
        </w:rPr>
      </w:pPr>
      <w:r>
        <w:rPr>
          <w:rFonts w:ascii="Book Antiqua" w:hAnsi="Book Antiqua" w:cs="Arial"/>
          <w:b/>
          <w:sz w:val="24"/>
          <w:szCs w:val="24"/>
        </w:rPr>
        <w:t>Figu</w:t>
      </w:r>
      <w:r w:rsidR="004D40D1" w:rsidRPr="004D40D1">
        <w:rPr>
          <w:rFonts w:ascii="Book Antiqua" w:hAnsi="Book Antiqua" w:cs="Arial"/>
          <w:b/>
          <w:sz w:val="24"/>
          <w:szCs w:val="24"/>
        </w:rPr>
        <w:t xml:space="preserve">re 2. Students are </w:t>
      </w:r>
      <w:r w:rsidR="004D40D1">
        <w:rPr>
          <w:rFonts w:ascii="Book Antiqua" w:hAnsi="Book Antiqua" w:cs="Arial"/>
          <w:b/>
          <w:sz w:val="24"/>
          <w:szCs w:val="24"/>
        </w:rPr>
        <w:t>Paying Attention to What the Teacher is Saying a</w:t>
      </w:r>
    </w:p>
    <w:p w14:paraId="1493870A" w14:textId="77777777" w:rsidR="004D40D1" w:rsidRPr="004D40D1" w:rsidRDefault="004D40D1" w:rsidP="004D40D1">
      <w:pPr>
        <w:shd w:val="clear" w:color="auto" w:fill="FFFFFF"/>
        <w:spacing w:after="0" w:line="240" w:lineRule="auto"/>
        <w:jc w:val="center"/>
        <w:rPr>
          <w:rFonts w:ascii="Book Antiqua" w:hAnsi="Book Antiqua" w:cs="Arial"/>
          <w:b/>
          <w:sz w:val="24"/>
          <w:szCs w:val="24"/>
        </w:rPr>
      </w:pPr>
      <w:r>
        <w:rPr>
          <w:rFonts w:ascii="Book Antiqua" w:hAnsi="Book Antiqua" w:cs="Arial"/>
          <w:b/>
          <w:sz w:val="24"/>
          <w:szCs w:val="24"/>
        </w:rPr>
        <w:t>about the Livewire a</w:t>
      </w:r>
      <w:r w:rsidRPr="004D40D1">
        <w:rPr>
          <w:rFonts w:ascii="Book Antiqua" w:hAnsi="Book Antiqua" w:cs="Arial"/>
          <w:b/>
          <w:sz w:val="24"/>
          <w:szCs w:val="24"/>
        </w:rPr>
        <w:t>nd</w:t>
      </w:r>
      <w:r>
        <w:rPr>
          <w:rFonts w:ascii="Book Antiqua" w:hAnsi="Book Antiqua" w:cs="Arial"/>
          <w:b/>
          <w:sz w:val="24"/>
          <w:szCs w:val="24"/>
        </w:rPr>
        <w:t xml:space="preserve"> PCB Wizard Applications</w:t>
      </w:r>
    </w:p>
    <w:p w14:paraId="7AB05555" w14:textId="77777777" w:rsidR="00D34087" w:rsidRPr="004D40D1" w:rsidRDefault="00D34087" w:rsidP="004D40D1">
      <w:pPr>
        <w:pStyle w:val="NoSpacing"/>
        <w:jc w:val="both"/>
        <w:rPr>
          <w:rFonts w:ascii="Book Antiqua" w:hAnsi="Book Antiqua"/>
          <w:sz w:val="24"/>
          <w:szCs w:val="24"/>
        </w:rPr>
      </w:pPr>
    </w:p>
    <w:p w14:paraId="59C6A1C0" w14:textId="77777777" w:rsidR="004D40D1" w:rsidRPr="004D40D1" w:rsidRDefault="004D40D1" w:rsidP="004D40D1">
      <w:pPr>
        <w:pStyle w:val="NoSpacing"/>
        <w:jc w:val="both"/>
        <w:rPr>
          <w:rFonts w:ascii="Book Antiqua" w:hAnsi="Book Antiqua"/>
          <w:sz w:val="24"/>
          <w:szCs w:val="24"/>
        </w:rPr>
      </w:pPr>
      <w:r w:rsidRPr="004D40D1">
        <w:rPr>
          <w:rFonts w:ascii="Book Antiqua" w:hAnsi="Book Antiqua"/>
          <w:sz w:val="24"/>
          <w:szCs w:val="24"/>
        </w:rPr>
        <w:t>Along with the development of technology, vocational education in the field of audio-video Video Engineering is expected to be able to follow the ever-evolving industry standards. However, limited facilities and equipment, especially computers, are the main obstacles that hinder the learning process. These limitations cause students to be unable to practice the necessary skills optimally, which has the potential to reduce the quality of graduates.</w:t>
      </w:r>
    </w:p>
    <w:p w14:paraId="343836F7" w14:textId="77777777" w:rsidR="00D34087" w:rsidRDefault="00D34087" w:rsidP="00EA2995">
      <w:pPr>
        <w:shd w:val="clear" w:color="auto" w:fill="FFFFFF"/>
        <w:spacing w:after="0" w:line="240" w:lineRule="auto"/>
        <w:jc w:val="both"/>
        <w:rPr>
          <w:rFonts w:ascii="Book Antiqua" w:hAnsi="Book Antiqua" w:cs="Arial"/>
          <w:sz w:val="24"/>
          <w:szCs w:val="24"/>
        </w:rPr>
      </w:pPr>
    </w:p>
    <w:p w14:paraId="6BA17101" w14:textId="77777777" w:rsidR="004D40D1" w:rsidRPr="004D40D1" w:rsidRDefault="004D40D1" w:rsidP="004D40D1">
      <w:pPr>
        <w:pStyle w:val="NoSpacing"/>
        <w:jc w:val="both"/>
        <w:rPr>
          <w:rFonts w:ascii="Book Antiqua" w:hAnsi="Book Antiqua"/>
          <w:sz w:val="24"/>
          <w:szCs w:val="24"/>
        </w:rPr>
      </w:pPr>
      <w:r w:rsidRPr="004D40D1">
        <w:rPr>
          <w:rFonts w:ascii="Book Antiqua" w:hAnsi="Book Antiqua"/>
          <w:sz w:val="24"/>
          <w:szCs w:val="24"/>
        </w:rPr>
        <w:t xml:space="preserve">To overcome this problem, the </w:t>
      </w:r>
      <w:r w:rsidR="00F45428" w:rsidRPr="004D40D1">
        <w:rPr>
          <w:rFonts w:ascii="Book Antiqua" w:hAnsi="Book Antiqua"/>
          <w:sz w:val="24"/>
          <w:szCs w:val="24"/>
        </w:rPr>
        <w:t>audio video en</w:t>
      </w:r>
      <w:r w:rsidRPr="004D40D1">
        <w:rPr>
          <w:rFonts w:ascii="Book Antiqua" w:hAnsi="Book Antiqua"/>
          <w:sz w:val="24"/>
          <w:szCs w:val="24"/>
        </w:rPr>
        <w:t>gineering expertise program at SMK has implemented a solution in the form of learning videos. Learning videos allow students to get technical materials and instructions without the need for a large number of computers</w:t>
      </w:r>
      <w:r w:rsidR="00E062F4">
        <w:rPr>
          <w:rFonts w:ascii="Book Antiqua" w:hAnsi="Book Antiqua"/>
          <w:sz w:val="24"/>
          <w:szCs w:val="24"/>
        </w:rPr>
        <w:t xml:space="preserve"> </w:t>
      </w:r>
      <w:r w:rsidR="00E062F4">
        <w:rPr>
          <w:rFonts w:ascii="Book Antiqua" w:hAnsi="Book Antiqua"/>
          <w:sz w:val="24"/>
          <w:szCs w:val="24"/>
        </w:rPr>
        <w:fldChar w:fldCharType="begin" w:fldLock="1"/>
      </w:r>
      <w:r w:rsidR="00E062F4">
        <w:rPr>
          <w:rFonts w:ascii="Book Antiqua" w:hAnsi="Book Antiqua"/>
          <w:sz w:val="24"/>
          <w:szCs w:val="24"/>
        </w:rPr>
        <w:instrText>ADDIN CSL_CITATION {"citationItems":[{"id":"ITEM-1","itemData":{"DOI":"10.1016/j.compedu.2018.09.014","ISSN":"03601315","author":[{"dropping-particle":"","family":"Yip","given":"Joanne","non-dropping-particle":"","parse-names":false,"suffix":""},{"dropping-particle":"","family":"Wong","given":"Sze-Ham","non-dropping-particle":"","parse-names":false,"suffix":""},{"dropping-particle":"","family":"Yick","given":"Kit-Lun","non-dropping-particle":"","parse-names":false,"suffix":""},{"dropping-particle":"","family":"Chan","given":"Kannass","non-dropping-particle":"","parse-names":false,"suffix":""},{"dropping-particle":"","family":"Wong","given":"Ka-Hing","non-dropping-particle":"","parse-names":false,"suffix":""}],"container-title":"Computers &amp; Education","id":"ITEM-1","issued":{"date-parts":[["2019","1"]]},"page":"88-101","title":"Improving quality of teaching and learning in classes by using augmented reality video","type":"article-journal","volume":"128"},"uris":["http://www.mendeley.com/documents/?uuid=fb368085-048d-3cf9-8de8-ec785aa0ce48"]}],"mendeley":{"formattedCitation":"(Yip et al., 2019)","plainTextFormattedCitation":"(Yip et al., 2019)","previouslyFormattedCitation":"(Yip et al., 2019)"},"properties":{"noteIndex":0},"schema":"https://github.com/citation-style-language/schema/raw/master/csl-citation.json"}</w:instrText>
      </w:r>
      <w:r w:rsidR="00E062F4">
        <w:rPr>
          <w:rFonts w:ascii="Book Antiqua" w:hAnsi="Book Antiqua"/>
          <w:sz w:val="24"/>
          <w:szCs w:val="24"/>
        </w:rPr>
        <w:fldChar w:fldCharType="separate"/>
      </w:r>
      <w:r w:rsidR="00E062F4" w:rsidRPr="00E062F4">
        <w:rPr>
          <w:rFonts w:ascii="Book Antiqua" w:hAnsi="Book Antiqua"/>
          <w:noProof/>
          <w:sz w:val="24"/>
          <w:szCs w:val="24"/>
        </w:rPr>
        <w:t>(Yip et al., 2019)</w:t>
      </w:r>
      <w:r w:rsidR="00E062F4">
        <w:rPr>
          <w:rFonts w:ascii="Book Antiqua" w:hAnsi="Book Antiqua"/>
          <w:sz w:val="24"/>
          <w:szCs w:val="24"/>
        </w:rPr>
        <w:fldChar w:fldCharType="end"/>
      </w:r>
      <w:r w:rsidRPr="004D40D1">
        <w:rPr>
          <w:rFonts w:ascii="Book Antiqua" w:hAnsi="Book Antiqua"/>
          <w:sz w:val="24"/>
          <w:szCs w:val="24"/>
        </w:rPr>
        <w:t>. By using videos, students can learn independently and flexibly, accessing materials anytime and anywhere</w:t>
      </w:r>
      <w:r w:rsidR="00E062F4">
        <w:rPr>
          <w:rFonts w:ascii="Book Antiqua" w:hAnsi="Book Antiqua"/>
          <w:sz w:val="24"/>
          <w:szCs w:val="24"/>
        </w:rPr>
        <w:t xml:space="preserve"> </w:t>
      </w:r>
      <w:r w:rsidR="00E062F4">
        <w:rPr>
          <w:rFonts w:ascii="Book Antiqua" w:hAnsi="Book Antiqua"/>
          <w:sz w:val="24"/>
          <w:szCs w:val="24"/>
        </w:rPr>
        <w:fldChar w:fldCharType="begin" w:fldLock="1"/>
      </w:r>
      <w:r w:rsidR="00E062F4">
        <w:rPr>
          <w:rFonts w:ascii="Book Antiqua" w:hAnsi="Book Antiqua"/>
          <w:sz w:val="24"/>
          <w:szCs w:val="24"/>
        </w:rPr>
        <w:instrText>ADDIN CSL_CITATION {"citationItems":[{"id":"ITEM-1","itemData":{"DOI":"10.1108/OTH-04-2017-0016","ISSN":"1074-8121","author":[{"dropping-particle":"","family":"Zainuddin","given":"Zamzami","non-dropping-particle":"","parse-names":false,"suffix":""},{"dropping-particle":"","family":"Perera","given":"Corinne Jacqueline","non-dropping-particle":"","parse-names":false,"suffix":""}],"container-title":"On the Horizon","id":"ITEM-1","issue":"4","issued":{"date-parts":[["2018","11","26"]]},"page":"281-290","title":"Supporting students’ self-directed learning in the flipped classroom through the LMS TES BlendSpace","type":"article-journal","volume":"26"},"uris":["http://www.mendeley.com/documents/?uuid=370a405a-3b25-332c-a700-7c0525d1ea11"]}],"mendeley":{"formattedCitation":"(Zainuddin &amp; Perera, 2018)","plainTextFormattedCitation":"(Zainuddin &amp; Perera, 2018)"},"properties":{"noteIndex":0},"schema":"https://github.com/citation-style-language/schema/raw/master/csl-citation.json"}</w:instrText>
      </w:r>
      <w:r w:rsidR="00E062F4">
        <w:rPr>
          <w:rFonts w:ascii="Book Antiqua" w:hAnsi="Book Antiqua"/>
          <w:sz w:val="24"/>
          <w:szCs w:val="24"/>
        </w:rPr>
        <w:fldChar w:fldCharType="separate"/>
      </w:r>
      <w:r w:rsidR="00E062F4" w:rsidRPr="00E062F4">
        <w:rPr>
          <w:rFonts w:ascii="Book Antiqua" w:hAnsi="Book Antiqua"/>
          <w:noProof/>
          <w:sz w:val="24"/>
          <w:szCs w:val="24"/>
        </w:rPr>
        <w:t>(Zainuddin &amp; Perera, 2018)</w:t>
      </w:r>
      <w:r w:rsidR="00E062F4">
        <w:rPr>
          <w:rFonts w:ascii="Book Antiqua" w:hAnsi="Book Antiqua"/>
          <w:sz w:val="24"/>
          <w:szCs w:val="24"/>
        </w:rPr>
        <w:fldChar w:fldCharType="end"/>
      </w:r>
      <w:r w:rsidRPr="004D40D1">
        <w:rPr>
          <w:rFonts w:ascii="Book Antiqua" w:hAnsi="Book Antiqua"/>
          <w:sz w:val="24"/>
          <w:szCs w:val="24"/>
        </w:rPr>
        <w:t>. Learning videos cover a variety of topics, such as drawing tutorials with the Livewire and PCB Wizard applications, the use of video editing software, audio device simulations, image capture techniques, and so on. Thus, students can still develop practical skills even though computer facilities are limited. The use of learning videos also allows teachers to provide more structured instructions that can be repeated by students as needed.</w:t>
      </w:r>
    </w:p>
    <w:p w14:paraId="2B7913F3" w14:textId="77777777" w:rsidR="00D34087" w:rsidRDefault="00D34087" w:rsidP="00EA2995">
      <w:pPr>
        <w:shd w:val="clear" w:color="auto" w:fill="FFFFFF"/>
        <w:spacing w:after="0" w:line="240" w:lineRule="auto"/>
        <w:jc w:val="both"/>
        <w:rPr>
          <w:rFonts w:ascii="Book Antiqua" w:hAnsi="Book Antiqua" w:cs="Arial"/>
          <w:sz w:val="24"/>
          <w:szCs w:val="24"/>
        </w:rPr>
      </w:pPr>
    </w:p>
    <w:p w14:paraId="5EFF09FF" w14:textId="77777777" w:rsidR="001D47A2" w:rsidRPr="001D47A2" w:rsidRDefault="001D47A2" w:rsidP="001D47A2">
      <w:pPr>
        <w:pStyle w:val="NoSpacing"/>
        <w:jc w:val="both"/>
        <w:rPr>
          <w:rFonts w:ascii="Book Antiqua" w:hAnsi="Book Antiqua"/>
          <w:sz w:val="24"/>
          <w:szCs w:val="24"/>
        </w:rPr>
      </w:pPr>
      <w:r w:rsidRPr="00985843">
        <w:rPr>
          <w:rFonts w:ascii="Book Antiqua" w:hAnsi="Book Antiqua"/>
          <w:sz w:val="24"/>
          <w:szCs w:val="24"/>
        </w:rPr>
        <w:t>In addition, learning videos allow for budget savings, because schools do not need to immediately</w:t>
      </w:r>
      <w:r w:rsidRPr="001D47A2">
        <w:rPr>
          <w:rFonts w:ascii="Book Antiqua" w:hAnsi="Book Antiqua"/>
          <w:sz w:val="24"/>
          <w:szCs w:val="24"/>
        </w:rPr>
        <w:t xml:space="preserve"> replace or add a large number of computers. Existing resources can be focused on procuring other equipment that is also important to support the learning process, such as video cameras, microphones, and audio mixers. With this solution, it is hoped that the quality of education in the Audio Video Engineering expertise program can be improved, even with limited facilities. Learning videos are an effective alternative to ensure that students continue to get adequate learning experiences that are relevant to industry demands.</w:t>
      </w:r>
    </w:p>
    <w:p w14:paraId="792F68BB" w14:textId="77777777" w:rsidR="00C469A2" w:rsidRPr="00C469A2" w:rsidRDefault="00C469A2" w:rsidP="00EA2995">
      <w:pPr>
        <w:shd w:val="clear" w:color="auto" w:fill="FFFFFF"/>
        <w:spacing w:after="0" w:line="240" w:lineRule="auto"/>
        <w:jc w:val="both"/>
        <w:rPr>
          <w:rFonts w:ascii="Book Antiqua" w:hAnsi="Book Antiqua" w:cs="Arial"/>
          <w:sz w:val="24"/>
          <w:szCs w:val="24"/>
        </w:rPr>
      </w:pPr>
    </w:p>
    <w:p w14:paraId="2AD1B9C2" w14:textId="77777777" w:rsidR="00AE6432" w:rsidRPr="00AE6432" w:rsidRDefault="00AE6432" w:rsidP="00AE6432">
      <w:pPr>
        <w:pStyle w:val="NoSpacing"/>
        <w:jc w:val="both"/>
        <w:rPr>
          <w:rFonts w:ascii="Book Antiqua" w:hAnsi="Book Antiqua"/>
          <w:sz w:val="24"/>
          <w:szCs w:val="24"/>
        </w:rPr>
      </w:pPr>
      <w:r w:rsidRPr="00AE6432">
        <w:rPr>
          <w:rFonts w:ascii="Book Antiqua" w:hAnsi="Book Antiqua"/>
          <w:sz w:val="24"/>
          <w:szCs w:val="24"/>
        </w:rPr>
        <w:lastRenderedPageBreak/>
        <w:t>After conducting an inventory of the computer equipment available in the Audio Video Engineering department, it was found that currently there are only 3 computer units. Based on the guidelines from the Directorate of Vocational High School Development, there should be 36 computer units available to support the learning process optimally. The shortage of 33 computer units has a significant impact on the effectiveness and efficiency of teaching and learning activities, especially in practicums that require intensive use of computer devices. Therefore, it is urgent to increase the number of computers according to the needs that have been set so that the learning process can run well and according to the established educational standards. From the results of the 1st interview with one of the Productive Audio Video Engineering teachers, Mr. A (December 6, 2023), it was found that learning videos were very lacking and needed to be made to make it easier to understand the livewire and PCB Wizard applications. The 2nd interview with the Basic Competency subject teacher, Mrs. S (December 7, 2023), concluded that learning videos need to be used in learning to make it easier to use the Livewire application. Then the 3rd interview with a productive teacher who teaches in grade XII who teaches the subject of equipment maintenance and repair (December 8, 2023), it was found that students need learning videos to guide them in drawing circuits practically.</w:t>
      </w:r>
    </w:p>
    <w:p w14:paraId="4AD009A3" w14:textId="77777777" w:rsidR="00AE6432" w:rsidRDefault="00AE6432" w:rsidP="00EA2995">
      <w:pPr>
        <w:shd w:val="clear" w:color="auto" w:fill="FFFFFF"/>
        <w:spacing w:after="0" w:line="240" w:lineRule="auto"/>
        <w:jc w:val="both"/>
        <w:rPr>
          <w:rFonts w:ascii="Book Antiqua" w:hAnsi="Book Antiqua" w:cs="Arial"/>
          <w:sz w:val="24"/>
          <w:szCs w:val="24"/>
        </w:rPr>
      </w:pPr>
    </w:p>
    <w:p w14:paraId="2A0E9AF7" w14:textId="77777777" w:rsidR="00883A0D" w:rsidRPr="00883A0D" w:rsidRDefault="00883A0D" w:rsidP="00883A0D">
      <w:pPr>
        <w:pStyle w:val="NoSpacing"/>
        <w:jc w:val="both"/>
        <w:rPr>
          <w:rFonts w:ascii="Book Antiqua" w:hAnsi="Book Antiqua"/>
          <w:sz w:val="24"/>
          <w:szCs w:val="24"/>
        </w:rPr>
      </w:pPr>
      <w:r w:rsidRPr="00883A0D">
        <w:rPr>
          <w:rFonts w:ascii="Book Antiqua" w:hAnsi="Book Antiqua"/>
          <w:sz w:val="24"/>
          <w:szCs w:val="24"/>
        </w:rPr>
        <w:t xml:space="preserve">Likewise, the results of an interview with one of the students, G (December 11, 2023), found that students really like it when given learning videos by teachers to learn through gadgets about how to make electronic circuits about drawing with the Livewire and PCB Wizard applications. Then student F (December 12, 2023), by being given learning videos, it will be easy to understand electronic symbols; </w:t>
      </w:r>
      <w:proofErr w:type="gramStart"/>
      <w:r w:rsidRPr="00883A0D">
        <w:rPr>
          <w:rFonts w:ascii="Book Antiqua" w:hAnsi="Book Antiqua"/>
          <w:sz w:val="24"/>
          <w:szCs w:val="24"/>
        </w:rPr>
        <w:t>also</w:t>
      </w:r>
      <w:proofErr w:type="gramEnd"/>
      <w:r w:rsidRPr="00883A0D">
        <w:rPr>
          <w:rFonts w:ascii="Book Antiqua" w:hAnsi="Book Antiqua"/>
          <w:sz w:val="24"/>
          <w:szCs w:val="24"/>
        </w:rPr>
        <w:t xml:space="preserve"> student A (December 13, 2023), with learning videos, it can make it easier for students to understand and know how to simulate circuits before using a laptop or computer. Based on the description above, the researcher wants to conduct a study entitled </w:t>
      </w:r>
      <w:r w:rsidR="004B5C37">
        <w:rPr>
          <w:rFonts w:ascii="Book Antiqua" w:hAnsi="Book Antiqua"/>
          <w:sz w:val="24"/>
          <w:szCs w:val="24"/>
        </w:rPr>
        <w:t>“</w:t>
      </w:r>
      <w:r w:rsidRPr="00883A0D">
        <w:rPr>
          <w:rFonts w:ascii="Book Antiqua" w:hAnsi="Book Antiqua"/>
          <w:sz w:val="24"/>
          <w:szCs w:val="24"/>
        </w:rPr>
        <w:t>Development of Learning Media Using the Livewire and PCB Wizard Applications in the Subject of Application of Electronic Circuits for Class XI.1 Audio Video Engineering Stud</w:t>
      </w:r>
      <w:r>
        <w:rPr>
          <w:rFonts w:ascii="Book Antiqua" w:hAnsi="Book Antiqua"/>
          <w:sz w:val="24"/>
          <w:szCs w:val="24"/>
        </w:rPr>
        <w:t xml:space="preserve">ents at SMK Negeri 2 </w:t>
      </w:r>
      <w:proofErr w:type="spellStart"/>
      <w:r w:rsidRPr="00FE055F">
        <w:rPr>
          <w:rFonts w:ascii="Book Antiqua" w:hAnsi="Book Antiqua"/>
          <w:sz w:val="24"/>
          <w:szCs w:val="24"/>
        </w:rPr>
        <w:t>Kayuagung</w:t>
      </w:r>
      <w:proofErr w:type="spellEnd"/>
      <w:r w:rsidR="004B5C37" w:rsidRPr="00FE055F">
        <w:rPr>
          <w:rFonts w:ascii="Book Antiqua" w:hAnsi="Book Antiqua"/>
          <w:sz w:val="24"/>
          <w:szCs w:val="24"/>
        </w:rPr>
        <w:t>”</w:t>
      </w:r>
      <w:r w:rsidRPr="00FE055F">
        <w:rPr>
          <w:rFonts w:ascii="Book Antiqua" w:hAnsi="Book Antiqua"/>
          <w:sz w:val="24"/>
          <w:szCs w:val="24"/>
        </w:rPr>
        <w:t>.</w:t>
      </w:r>
    </w:p>
    <w:p w14:paraId="0D5BCD06" w14:textId="77777777" w:rsidR="005634D3" w:rsidRPr="00366BCF" w:rsidRDefault="005634D3" w:rsidP="00EA2995">
      <w:pPr>
        <w:pStyle w:val="ListParagraph"/>
        <w:tabs>
          <w:tab w:val="left" w:pos="851"/>
        </w:tabs>
        <w:spacing w:after="0" w:line="240" w:lineRule="auto"/>
        <w:ind w:left="0"/>
        <w:jc w:val="both"/>
        <w:rPr>
          <w:rFonts w:ascii="Book Antiqua" w:hAnsi="Book Antiqua" w:cs="Arial"/>
          <w:sz w:val="24"/>
          <w:szCs w:val="24"/>
        </w:rPr>
      </w:pPr>
    </w:p>
    <w:p w14:paraId="15D52A1C" w14:textId="77777777" w:rsidR="000B578E" w:rsidRPr="00366BCF" w:rsidRDefault="00471531" w:rsidP="00EA2995">
      <w:pPr>
        <w:pStyle w:val="BodyText"/>
        <w:spacing w:line="240" w:lineRule="auto"/>
        <w:ind w:right="39" w:firstLine="0"/>
        <w:jc w:val="both"/>
        <w:rPr>
          <w:rFonts w:ascii="Book Antiqua" w:eastAsiaTheme="minorHAnsi" w:hAnsi="Book Antiqua" w:cstheme="majorBidi"/>
          <w:b/>
          <w:bCs/>
          <w:color w:val="000000" w:themeColor="text1"/>
        </w:rPr>
      </w:pPr>
      <w:r w:rsidRPr="00366BCF">
        <w:rPr>
          <w:rFonts w:ascii="Book Antiqua" w:eastAsiaTheme="minorHAnsi" w:hAnsi="Book Antiqua" w:cstheme="majorBidi"/>
          <w:b/>
          <w:bCs/>
          <w:color w:val="000000" w:themeColor="text1"/>
        </w:rPr>
        <w:t>B</w:t>
      </w:r>
      <w:r w:rsidR="00617B4E" w:rsidRPr="00366BCF">
        <w:rPr>
          <w:rFonts w:ascii="Book Antiqua" w:eastAsiaTheme="minorHAnsi" w:hAnsi="Book Antiqua" w:cstheme="majorBidi"/>
          <w:b/>
          <w:bCs/>
          <w:color w:val="000000" w:themeColor="text1"/>
        </w:rPr>
        <w:t>. Methods</w:t>
      </w:r>
    </w:p>
    <w:p w14:paraId="2DBD403A" w14:textId="77777777" w:rsidR="00883A0D" w:rsidRDefault="00883A0D" w:rsidP="00EA2995">
      <w:pPr>
        <w:spacing w:after="0" w:line="240" w:lineRule="auto"/>
        <w:jc w:val="both"/>
        <w:rPr>
          <w:rFonts w:ascii="Book Antiqua" w:hAnsi="Book Antiqua" w:cs="Arial"/>
          <w:sz w:val="24"/>
          <w:szCs w:val="24"/>
        </w:rPr>
      </w:pPr>
    </w:p>
    <w:p w14:paraId="5055B28F" w14:textId="77777777" w:rsidR="0011267C" w:rsidRPr="0011267C" w:rsidRDefault="0011267C" w:rsidP="0011267C">
      <w:pPr>
        <w:pStyle w:val="NoSpacing"/>
        <w:jc w:val="both"/>
        <w:rPr>
          <w:rFonts w:ascii="Book Antiqua" w:hAnsi="Book Antiqua"/>
          <w:sz w:val="24"/>
          <w:szCs w:val="24"/>
        </w:rPr>
      </w:pPr>
      <w:r>
        <w:rPr>
          <w:rFonts w:ascii="Book Antiqua" w:hAnsi="Book Antiqua"/>
          <w:sz w:val="24"/>
          <w:szCs w:val="24"/>
        </w:rPr>
        <w:t>We</w:t>
      </w:r>
      <w:r w:rsidRPr="0011267C">
        <w:rPr>
          <w:rFonts w:ascii="Book Antiqua" w:hAnsi="Book Antiqua"/>
          <w:sz w:val="24"/>
          <w:szCs w:val="24"/>
        </w:rPr>
        <w:t xml:space="preserve"> used the type of research and development (R&amp;D). Audio Video Engineering of SMK Negeri 2 </w:t>
      </w:r>
      <w:proofErr w:type="spellStart"/>
      <w:r w:rsidRPr="0011267C">
        <w:rPr>
          <w:rFonts w:ascii="Book Antiqua" w:hAnsi="Book Antiqua"/>
          <w:sz w:val="24"/>
          <w:szCs w:val="24"/>
        </w:rPr>
        <w:t>Kayuagung</w:t>
      </w:r>
      <w:proofErr w:type="spellEnd"/>
      <w:r w:rsidRPr="0011267C">
        <w:rPr>
          <w:rFonts w:ascii="Book Antiqua" w:hAnsi="Book Antiqua"/>
          <w:sz w:val="24"/>
          <w:szCs w:val="24"/>
        </w:rPr>
        <w:t xml:space="preserve"> by presenting learning using learning media in the form of learning videos about making light sensors with the Livewire and PCB Wizard applications through gadgets to students through the Project Based Learning (</w:t>
      </w:r>
      <w:proofErr w:type="spellStart"/>
      <w:r w:rsidRPr="0011267C">
        <w:rPr>
          <w:rFonts w:ascii="Book Antiqua" w:hAnsi="Book Antiqua"/>
          <w:sz w:val="24"/>
          <w:szCs w:val="24"/>
        </w:rPr>
        <w:t>PjBL</w:t>
      </w:r>
      <w:proofErr w:type="spellEnd"/>
      <w:r w:rsidRPr="0011267C">
        <w:rPr>
          <w:rFonts w:ascii="Book Antiqua" w:hAnsi="Book Antiqua"/>
          <w:sz w:val="24"/>
          <w:szCs w:val="24"/>
        </w:rPr>
        <w:t xml:space="preserve">) learning model and the development procedures used are analyze, design, develop, implement, and evaluate (ADDIE). The approach in this study is descriptive quantitative, with the R&amp;D research method and the type of experimental research in class XI.1 TAV and the control class in class XI.2 TAV SMK Negeri 2 </w:t>
      </w:r>
      <w:proofErr w:type="spellStart"/>
      <w:r w:rsidRPr="0011267C">
        <w:rPr>
          <w:rFonts w:ascii="Book Antiqua" w:hAnsi="Book Antiqua"/>
          <w:sz w:val="24"/>
          <w:szCs w:val="24"/>
        </w:rPr>
        <w:t>Kayuagung</w:t>
      </w:r>
      <w:proofErr w:type="spellEnd"/>
      <w:r w:rsidRPr="0011267C">
        <w:rPr>
          <w:rFonts w:ascii="Book Antiqua" w:hAnsi="Book Antiqua"/>
          <w:sz w:val="24"/>
          <w:szCs w:val="24"/>
        </w:rPr>
        <w:t xml:space="preserve">. The material presented is about sensors using the Livewire and PCB Wizard </w:t>
      </w:r>
      <w:r w:rsidRPr="0011267C">
        <w:rPr>
          <w:rFonts w:ascii="Book Antiqua" w:hAnsi="Book Antiqua"/>
          <w:sz w:val="24"/>
          <w:szCs w:val="24"/>
        </w:rPr>
        <w:lastRenderedPageBreak/>
        <w:t>applications. The researcher wants students to be able to use the application in making electronic circuits so that they produce good electronic circuit images that can be simulated.</w:t>
      </w:r>
    </w:p>
    <w:p w14:paraId="02AFE85A" w14:textId="77777777" w:rsidR="0011267C" w:rsidRPr="0011267C" w:rsidRDefault="0011267C" w:rsidP="00EA2995">
      <w:pPr>
        <w:spacing w:after="0" w:line="240" w:lineRule="auto"/>
        <w:jc w:val="both"/>
        <w:rPr>
          <w:rFonts w:ascii="Book Antiqua" w:hAnsi="Book Antiqua" w:cs="Arial"/>
          <w:sz w:val="24"/>
          <w:szCs w:val="24"/>
        </w:rPr>
      </w:pPr>
    </w:p>
    <w:p w14:paraId="3171745A" w14:textId="77777777" w:rsidR="000524C9" w:rsidRPr="00366BCF" w:rsidRDefault="00471531" w:rsidP="00EA2995">
      <w:pPr>
        <w:autoSpaceDE w:val="0"/>
        <w:autoSpaceDN w:val="0"/>
        <w:adjustRightInd w:val="0"/>
        <w:spacing w:after="0" w:line="240" w:lineRule="auto"/>
        <w:ind w:right="27"/>
        <w:jc w:val="both"/>
        <w:rPr>
          <w:rFonts w:ascii="Book Antiqua" w:hAnsi="Book Antiqua"/>
          <w:b/>
          <w:bCs/>
          <w:color w:val="000000" w:themeColor="text1"/>
          <w:sz w:val="24"/>
          <w:szCs w:val="24"/>
        </w:rPr>
      </w:pPr>
      <w:r w:rsidRPr="00366BCF">
        <w:rPr>
          <w:rFonts w:ascii="Book Antiqua" w:hAnsi="Book Antiqua"/>
          <w:b/>
          <w:bCs/>
          <w:color w:val="000000" w:themeColor="text1"/>
          <w:sz w:val="24"/>
          <w:szCs w:val="24"/>
        </w:rPr>
        <w:t>C</w:t>
      </w:r>
      <w:r w:rsidR="00671184" w:rsidRPr="00366BCF">
        <w:rPr>
          <w:rFonts w:ascii="Book Antiqua" w:hAnsi="Book Antiqua"/>
          <w:b/>
          <w:bCs/>
          <w:color w:val="000000" w:themeColor="text1"/>
          <w:sz w:val="24"/>
          <w:szCs w:val="24"/>
          <w:lang w:val="id-ID"/>
        </w:rPr>
        <w:t>. Results</w:t>
      </w:r>
      <w:r w:rsidR="00671184" w:rsidRPr="00366BCF">
        <w:rPr>
          <w:rFonts w:ascii="Book Antiqua" w:hAnsi="Book Antiqua"/>
          <w:b/>
          <w:bCs/>
          <w:color w:val="000000" w:themeColor="text1"/>
          <w:sz w:val="24"/>
          <w:szCs w:val="24"/>
        </w:rPr>
        <w:t xml:space="preserve"> and Discussion</w:t>
      </w:r>
    </w:p>
    <w:p w14:paraId="68896841" w14:textId="77777777" w:rsidR="00631E13" w:rsidRDefault="00631E13" w:rsidP="00EA2995">
      <w:pPr>
        <w:spacing w:after="0" w:line="240" w:lineRule="auto"/>
        <w:jc w:val="both"/>
        <w:rPr>
          <w:rFonts w:ascii="Book Antiqua" w:hAnsi="Book Antiqua" w:cs="Arial"/>
          <w:b/>
          <w:sz w:val="24"/>
          <w:szCs w:val="24"/>
        </w:rPr>
      </w:pPr>
    </w:p>
    <w:p w14:paraId="7A7161FF" w14:textId="77777777" w:rsidR="00D34087" w:rsidRPr="00366BCF" w:rsidRDefault="00D34087" w:rsidP="00EA2995">
      <w:pPr>
        <w:spacing w:after="0" w:line="240" w:lineRule="auto"/>
        <w:jc w:val="both"/>
        <w:rPr>
          <w:rFonts w:ascii="Book Antiqua" w:hAnsi="Book Antiqua" w:cs="Arial"/>
          <w:b/>
          <w:sz w:val="24"/>
          <w:szCs w:val="24"/>
          <w:lang w:val="id-ID"/>
        </w:rPr>
      </w:pPr>
      <w:r w:rsidRPr="00366BCF">
        <w:rPr>
          <w:rFonts w:ascii="Book Antiqua" w:hAnsi="Book Antiqua" w:cs="Arial"/>
          <w:b/>
          <w:sz w:val="24"/>
          <w:szCs w:val="24"/>
          <w:lang w:val="id-ID"/>
        </w:rPr>
        <w:t xml:space="preserve">1. </w:t>
      </w:r>
      <w:r w:rsidR="00631E13" w:rsidRPr="00631E13">
        <w:rPr>
          <w:rFonts w:ascii="Book Antiqua" w:hAnsi="Book Antiqua" w:cs="Arial"/>
          <w:b/>
          <w:sz w:val="24"/>
          <w:szCs w:val="24"/>
          <w:lang w:val="id-ID"/>
        </w:rPr>
        <w:t>Discussion of Development Results</w:t>
      </w:r>
    </w:p>
    <w:p w14:paraId="6AC9726A" w14:textId="77777777" w:rsidR="00631E13" w:rsidRDefault="00631E13" w:rsidP="00EA2995">
      <w:pPr>
        <w:pStyle w:val="ListParagraph"/>
        <w:tabs>
          <w:tab w:val="left" w:pos="1440"/>
          <w:tab w:val="left" w:pos="7230"/>
          <w:tab w:val="left" w:pos="7560"/>
          <w:tab w:val="left" w:pos="8789"/>
        </w:tabs>
        <w:spacing w:after="0" w:line="240" w:lineRule="auto"/>
        <w:ind w:left="0"/>
        <w:jc w:val="both"/>
        <w:rPr>
          <w:rFonts w:ascii="Book Antiqua" w:hAnsi="Book Antiqua" w:cs="Arial"/>
          <w:sz w:val="24"/>
          <w:szCs w:val="24"/>
        </w:rPr>
      </w:pPr>
    </w:p>
    <w:p w14:paraId="4D37333C" w14:textId="77777777" w:rsidR="00631E13" w:rsidRPr="00631E13" w:rsidRDefault="00631E13" w:rsidP="00631E13">
      <w:pPr>
        <w:pStyle w:val="NoSpacing"/>
        <w:jc w:val="both"/>
        <w:rPr>
          <w:rFonts w:ascii="Book Antiqua" w:hAnsi="Book Antiqua"/>
          <w:sz w:val="24"/>
          <w:szCs w:val="24"/>
        </w:rPr>
      </w:pPr>
      <w:r w:rsidRPr="00631E13">
        <w:rPr>
          <w:rFonts w:ascii="Book Antiqua" w:hAnsi="Book Antiqua"/>
          <w:sz w:val="24"/>
          <w:szCs w:val="24"/>
        </w:rPr>
        <w:t>From the description above, this research and development uses the ADDIE model approach, namely analysis, design, development, implementation, and evaluation. The results of the development of learning media show a significant increase in students</w:t>
      </w:r>
      <w:r w:rsidR="00DF1005">
        <w:rPr>
          <w:rFonts w:ascii="Book Antiqua" w:hAnsi="Book Antiqua"/>
          <w:sz w:val="24"/>
          <w:szCs w:val="24"/>
        </w:rPr>
        <w:t>’</w:t>
      </w:r>
      <w:r w:rsidRPr="00631E13">
        <w:rPr>
          <w:rFonts w:ascii="Book Antiqua" w:hAnsi="Book Antiqua"/>
          <w:sz w:val="24"/>
          <w:szCs w:val="24"/>
        </w:rPr>
        <w:t xml:space="preserve"> understanding of electronic circuit design and simulation. This media is designed to provide a more practical and enjoyable learning experience, facilitating the exploration of electronic concepts with intuitive and interactive visualizations. Students can easily design, test, and modify their circuits, thereby improving problem-solving skills and creativity in the field of technology.</w:t>
      </w:r>
    </w:p>
    <w:p w14:paraId="59B55FD5" w14:textId="77777777" w:rsidR="00631E13" w:rsidRDefault="00631E13" w:rsidP="00EA2995">
      <w:pPr>
        <w:pStyle w:val="ListParagraph"/>
        <w:tabs>
          <w:tab w:val="left" w:pos="1440"/>
          <w:tab w:val="left" w:pos="7230"/>
          <w:tab w:val="left" w:pos="7560"/>
          <w:tab w:val="left" w:pos="8789"/>
        </w:tabs>
        <w:spacing w:after="0" w:line="240" w:lineRule="auto"/>
        <w:ind w:left="0"/>
        <w:jc w:val="both"/>
        <w:rPr>
          <w:rFonts w:ascii="Book Antiqua" w:hAnsi="Book Antiqua" w:cs="Arial"/>
          <w:sz w:val="24"/>
          <w:szCs w:val="24"/>
        </w:rPr>
      </w:pPr>
    </w:p>
    <w:p w14:paraId="1E2A62D2" w14:textId="77777777" w:rsidR="00B636B5" w:rsidRDefault="00DF3749" w:rsidP="00DF3749">
      <w:pPr>
        <w:pStyle w:val="NoSpacing"/>
        <w:jc w:val="both"/>
        <w:rPr>
          <w:rFonts w:ascii="Book Antiqua" w:hAnsi="Book Antiqua"/>
          <w:sz w:val="24"/>
          <w:szCs w:val="24"/>
        </w:rPr>
      </w:pPr>
      <w:r w:rsidRPr="00DF3749">
        <w:rPr>
          <w:rFonts w:ascii="Book Antiqua" w:hAnsi="Book Antiqua"/>
          <w:sz w:val="24"/>
          <w:szCs w:val="24"/>
        </w:rPr>
        <w:t>In this study, it was found that there was a shortage of computers; in one practice room there should be 36 computer units</w:t>
      </w:r>
      <w:r>
        <w:rPr>
          <w:rFonts w:ascii="Book Antiqua" w:hAnsi="Book Antiqua"/>
          <w:sz w:val="24"/>
          <w:szCs w:val="24"/>
        </w:rPr>
        <w:t xml:space="preserve"> </w:t>
      </w:r>
      <w:sdt>
        <w:sdtPr>
          <w:rPr>
            <w:rFonts w:ascii="Book Antiqua" w:hAnsi="Book Antiqua" w:cs="Arial"/>
            <w:sz w:val="24"/>
            <w:szCs w:val="24"/>
            <w:lang w:val="id-ID"/>
          </w:rPr>
          <w:id w:val="-315884469"/>
          <w:citation/>
        </w:sdtPr>
        <w:sdtEndPr/>
        <w:sdtContent>
          <w:r w:rsidRPr="00366BCF">
            <w:rPr>
              <w:rFonts w:ascii="Book Antiqua" w:hAnsi="Book Antiqua" w:cs="Arial"/>
              <w:sz w:val="24"/>
              <w:szCs w:val="24"/>
              <w:lang w:val="id-ID"/>
            </w:rPr>
            <w:fldChar w:fldCharType="begin"/>
          </w:r>
          <w:r w:rsidRPr="00366BCF">
            <w:rPr>
              <w:rFonts w:ascii="Book Antiqua" w:hAnsi="Book Antiqua" w:cs="Arial"/>
              <w:sz w:val="24"/>
              <w:szCs w:val="24"/>
              <w:lang w:val="id-ID"/>
            </w:rPr>
            <w:instrText xml:space="preserve"> CITATION Efe21 \l 1057 </w:instrText>
          </w:r>
          <w:r w:rsidRPr="00366BCF">
            <w:rPr>
              <w:rFonts w:ascii="Book Antiqua" w:hAnsi="Book Antiqua" w:cs="Arial"/>
              <w:sz w:val="24"/>
              <w:szCs w:val="24"/>
              <w:lang w:val="id-ID"/>
            </w:rPr>
            <w:fldChar w:fldCharType="separate"/>
          </w:r>
          <w:r w:rsidRPr="00366BCF">
            <w:rPr>
              <w:rFonts w:ascii="Book Antiqua" w:hAnsi="Book Antiqua" w:cs="Arial"/>
              <w:noProof/>
              <w:sz w:val="24"/>
              <w:szCs w:val="24"/>
              <w:lang w:val="id-ID"/>
            </w:rPr>
            <w:t>(Efendi, 2021)</w:t>
          </w:r>
          <w:r w:rsidRPr="00366BCF">
            <w:rPr>
              <w:rFonts w:ascii="Book Antiqua" w:hAnsi="Book Antiqua" w:cs="Arial"/>
              <w:sz w:val="24"/>
              <w:szCs w:val="24"/>
              <w:lang w:val="id-ID"/>
            </w:rPr>
            <w:fldChar w:fldCharType="end"/>
          </w:r>
        </w:sdtContent>
      </w:sdt>
      <w:r w:rsidRPr="00DF3749">
        <w:rPr>
          <w:rFonts w:ascii="Book Antiqua" w:hAnsi="Book Antiqua"/>
          <w:sz w:val="24"/>
          <w:szCs w:val="24"/>
        </w:rPr>
        <w:t>, while there were on</w:t>
      </w:r>
      <w:r w:rsidR="00546CDB">
        <w:rPr>
          <w:rFonts w:ascii="Book Antiqua" w:hAnsi="Book Antiqua"/>
          <w:sz w:val="24"/>
          <w:szCs w:val="24"/>
        </w:rPr>
        <w:t>ly 3 computers (inventory data)</w:t>
      </w:r>
      <w:r w:rsidRPr="00DF3749">
        <w:rPr>
          <w:rFonts w:ascii="Book Antiqua" w:hAnsi="Book Antiqua"/>
          <w:sz w:val="24"/>
          <w:szCs w:val="24"/>
        </w:rPr>
        <w:t xml:space="preserve">. However, a solution will be sought so that more computers can be added by submitting a proposal to the relevant parties, namely infrastructure and the principal at SMK Negeri 2 </w:t>
      </w:r>
      <w:proofErr w:type="spellStart"/>
      <w:r w:rsidRPr="00DF3749">
        <w:rPr>
          <w:rFonts w:ascii="Book Antiqua" w:hAnsi="Book Antiqua"/>
          <w:sz w:val="24"/>
          <w:szCs w:val="24"/>
        </w:rPr>
        <w:t>Kayuagung</w:t>
      </w:r>
      <w:proofErr w:type="spellEnd"/>
      <w:r w:rsidRPr="00DF3749">
        <w:rPr>
          <w:rFonts w:ascii="Book Antiqua" w:hAnsi="Book Antiqua"/>
          <w:sz w:val="24"/>
          <w:szCs w:val="24"/>
        </w:rPr>
        <w:t xml:space="preserve">. learning media, especially in the form of learning videos related to the use of </w:t>
      </w:r>
      <w:proofErr w:type="spellStart"/>
      <w:r w:rsidRPr="00DF3749">
        <w:rPr>
          <w:rFonts w:ascii="Book Antiqua" w:hAnsi="Book Antiqua"/>
          <w:sz w:val="24"/>
          <w:szCs w:val="24"/>
        </w:rPr>
        <w:t>LiveWire</w:t>
      </w:r>
      <w:proofErr w:type="spellEnd"/>
      <w:r w:rsidRPr="00DF3749">
        <w:rPr>
          <w:rFonts w:ascii="Book Antiqua" w:hAnsi="Book Antiqua"/>
          <w:sz w:val="24"/>
          <w:szCs w:val="24"/>
        </w:rPr>
        <w:t xml:space="preserve"> and PCB Wizard software. This was obtained from the results of interviews with several teachers and students that have been explained above. </w:t>
      </w:r>
      <w:proofErr w:type="spellStart"/>
      <w:r w:rsidRPr="00DF3749">
        <w:rPr>
          <w:rFonts w:ascii="Book Antiqua" w:hAnsi="Book Antiqua"/>
          <w:sz w:val="24"/>
          <w:szCs w:val="24"/>
        </w:rPr>
        <w:t>LiveWire</w:t>
      </w:r>
      <w:proofErr w:type="spellEnd"/>
      <w:r w:rsidRPr="00DF3749">
        <w:rPr>
          <w:rFonts w:ascii="Book Antiqua" w:hAnsi="Book Antiqua"/>
          <w:sz w:val="24"/>
          <w:szCs w:val="24"/>
        </w:rPr>
        <w:t xml:space="preserve"> is a circuit simulation software that is often used in electrical and electronics engineering education. Although this software has many useful features, the lack of learning videos makes it difficult for students to understand how to use it and the practical application of this software. </w:t>
      </w:r>
    </w:p>
    <w:p w14:paraId="5B1DD01B" w14:textId="77777777" w:rsidR="00B636B5" w:rsidRDefault="00B636B5" w:rsidP="00DF3749">
      <w:pPr>
        <w:pStyle w:val="NoSpacing"/>
        <w:jc w:val="both"/>
        <w:rPr>
          <w:rFonts w:ascii="Book Antiqua" w:hAnsi="Book Antiqua"/>
          <w:sz w:val="24"/>
          <w:szCs w:val="24"/>
        </w:rPr>
      </w:pPr>
    </w:p>
    <w:p w14:paraId="21C57008" w14:textId="77777777" w:rsidR="00DF3749" w:rsidRPr="00DF3749" w:rsidRDefault="00DF3749" w:rsidP="00DF3749">
      <w:pPr>
        <w:pStyle w:val="NoSpacing"/>
        <w:jc w:val="both"/>
        <w:rPr>
          <w:rFonts w:ascii="Book Antiqua" w:hAnsi="Book Antiqua"/>
          <w:sz w:val="24"/>
          <w:szCs w:val="24"/>
        </w:rPr>
      </w:pPr>
      <w:r w:rsidRPr="00DF3749">
        <w:rPr>
          <w:rFonts w:ascii="Book Antiqua" w:hAnsi="Book Antiqua"/>
          <w:sz w:val="24"/>
          <w:szCs w:val="24"/>
        </w:rPr>
        <w:t xml:space="preserve">Good learning videos can help students see how circuits are designed, tested, and modified in a simulation environment. PCB Wizard is a printed circuit board (PCB) design tool used to design and create PCB layouts. Similar to </w:t>
      </w:r>
      <w:proofErr w:type="spellStart"/>
      <w:r w:rsidRPr="00DF3749">
        <w:rPr>
          <w:rFonts w:ascii="Book Antiqua" w:hAnsi="Book Antiqua"/>
          <w:sz w:val="24"/>
          <w:szCs w:val="24"/>
        </w:rPr>
        <w:t>LiveWire</w:t>
      </w:r>
      <w:proofErr w:type="spellEnd"/>
      <w:r w:rsidRPr="00DF3749">
        <w:rPr>
          <w:rFonts w:ascii="Book Antiqua" w:hAnsi="Book Antiqua"/>
          <w:sz w:val="24"/>
          <w:szCs w:val="24"/>
        </w:rPr>
        <w:t xml:space="preserve">, the lack of adequate learning videos causes obstacles in the student learning process. Effective learning videos can show the steps in designing a PCB, from creating a circuit schematic to creating a layout and producing a PCB. Video learning media has a very important role in the learning process because it provides clear visualization and practical demonstrations that facilitate student understanding. Without clear and structured learning videos, students tend to have difficulty understanding the concepts and practical applications of the software. This can slow down the learning process and reduce student motivation. With adequate learning videos, it is hoped that students can more easily understand and master the use of </w:t>
      </w:r>
      <w:proofErr w:type="spellStart"/>
      <w:r w:rsidRPr="00DF3749">
        <w:rPr>
          <w:rFonts w:ascii="Book Antiqua" w:hAnsi="Book Antiqua"/>
          <w:sz w:val="24"/>
          <w:szCs w:val="24"/>
        </w:rPr>
        <w:t>LiveWire</w:t>
      </w:r>
      <w:proofErr w:type="spellEnd"/>
      <w:r w:rsidRPr="00DF3749">
        <w:rPr>
          <w:rFonts w:ascii="Book Antiqua" w:hAnsi="Book Antiqua"/>
          <w:sz w:val="24"/>
          <w:szCs w:val="24"/>
        </w:rPr>
        <w:t xml:space="preserve"> and PCB </w:t>
      </w:r>
      <w:r w:rsidRPr="00DF3749">
        <w:rPr>
          <w:rFonts w:ascii="Book Antiqua" w:hAnsi="Book Antiqua"/>
          <w:sz w:val="24"/>
          <w:szCs w:val="24"/>
        </w:rPr>
        <w:lastRenderedPageBreak/>
        <w:t>Wizard software, thereby improving the quality of their learning and learning outcomes.</w:t>
      </w:r>
    </w:p>
    <w:p w14:paraId="2E679CAD" w14:textId="77777777" w:rsidR="00C469A2" w:rsidRPr="00C469A2" w:rsidRDefault="00C469A2" w:rsidP="00EA2995">
      <w:pPr>
        <w:spacing w:after="0" w:line="240" w:lineRule="auto"/>
        <w:jc w:val="both"/>
        <w:rPr>
          <w:rFonts w:ascii="Book Antiqua" w:hAnsi="Book Antiqua" w:cs="Arial"/>
          <w:sz w:val="24"/>
          <w:szCs w:val="24"/>
        </w:rPr>
      </w:pPr>
    </w:p>
    <w:p w14:paraId="57F27469" w14:textId="77777777" w:rsidR="00DA0574" w:rsidRPr="00DA0574" w:rsidRDefault="00DA0574" w:rsidP="00DA0574">
      <w:pPr>
        <w:pStyle w:val="NoSpacing"/>
        <w:jc w:val="both"/>
        <w:rPr>
          <w:rFonts w:ascii="Book Antiqua" w:hAnsi="Book Antiqua"/>
          <w:sz w:val="24"/>
          <w:szCs w:val="24"/>
        </w:rPr>
      </w:pPr>
      <w:r w:rsidRPr="00DA0574">
        <w:rPr>
          <w:rFonts w:ascii="Book Antiqua" w:hAnsi="Book Antiqua"/>
          <w:sz w:val="24"/>
          <w:szCs w:val="24"/>
        </w:rPr>
        <w:t>Before conducting the research, we created an instrument for the learning video resulting from the development of learning videos that had been assessed by the validator and were suitable for use based on the assessment results from the validation team. The purpose of the validation was to determine the suitability of the learning video to be given to students as a trial in the research to see whether this product was suitable for use. Before being used, this learning video was validated by material experts, media experts, and information technology experts, as well as education practitioners. We created a questionnaire and then submitted it to material experts, media experts, information technology experts, and education practitioners.</w:t>
      </w:r>
    </w:p>
    <w:p w14:paraId="0B68B8A3" w14:textId="77777777" w:rsidR="00DA0574" w:rsidRDefault="00DA0574" w:rsidP="00EA2995">
      <w:pPr>
        <w:spacing w:after="0" w:line="240" w:lineRule="auto"/>
        <w:jc w:val="both"/>
        <w:rPr>
          <w:rFonts w:ascii="Book Antiqua" w:hAnsi="Book Antiqua" w:cs="Arial"/>
          <w:sz w:val="24"/>
          <w:szCs w:val="24"/>
        </w:rPr>
      </w:pPr>
    </w:p>
    <w:p w14:paraId="4B800C8C" w14:textId="77777777" w:rsidR="00DA0574" w:rsidRPr="00DA0574" w:rsidRDefault="00DA0574" w:rsidP="00DA0574">
      <w:pPr>
        <w:pStyle w:val="NoSpacing"/>
        <w:jc w:val="both"/>
        <w:rPr>
          <w:rFonts w:ascii="Book Antiqua" w:hAnsi="Book Antiqua"/>
          <w:sz w:val="24"/>
          <w:szCs w:val="24"/>
        </w:rPr>
      </w:pPr>
      <w:r w:rsidRPr="00DA0574">
        <w:rPr>
          <w:rFonts w:ascii="Book Antiqua" w:hAnsi="Book Antiqua"/>
          <w:sz w:val="24"/>
          <w:szCs w:val="24"/>
        </w:rPr>
        <w:t>The questionnaire consists of 30 assessment indicators grouped into 6 aspects, namely curriculum, suitability of materials, quality of learning, availability of additional resources, and evaluation. Then the media expert questionnaire, where the questionnaire for media experts has a questionnaire consisting of 30 assessment indicators from 5 aspects, namely user experience, performance and quality, circuit simulation, component relationship analysis, and interactive learning. The information technology expert questionnaire consists of 30 indicators that have 6 aspects, namely suitability to user needs, interactivity, ease of use, simulation quality, performance, and learning and understanding. Get improvements to the sentence section to be made as a statement sentence so that it is not confusing. In terms of the education practitioner questionnaire, it has 30 assessment indicators from 6 aspects consisting of content quality, interactivity, design and navigation, user involvement, learning effectiveness, and suitability to the curriculum.</w:t>
      </w:r>
    </w:p>
    <w:p w14:paraId="0A6E2DB4" w14:textId="77777777" w:rsidR="00C469A2" w:rsidRPr="00C469A2" w:rsidRDefault="00C469A2" w:rsidP="00EA2995">
      <w:pPr>
        <w:spacing w:after="0" w:line="240" w:lineRule="auto"/>
        <w:jc w:val="both"/>
        <w:rPr>
          <w:rFonts w:ascii="Book Antiqua" w:hAnsi="Book Antiqua" w:cs="Arial"/>
          <w:sz w:val="24"/>
          <w:szCs w:val="24"/>
        </w:rPr>
      </w:pPr>
    </w:p>
    <w:p w14:paraId="3FDC19DF" w14:textId="77777777" w:rsidR="00FB0929" w:rsidRPr="00FB0929" w:rsidRDefault="00FB0929" w:rsidP="00FB0929">
      <w:pPr>
        <w:pStyle w:val="NoSpacing"/>
        <w:jc w:val="both"/>
        <w:rPr>
          <w:rFonts w:ascii="Book Antiqua" w:hAnsi="Book Antiqua"/>
          <w:sz w:val="24"/>
          <w:szCs w:val="24"/>
        </w:rPr>
      </w:pPr>
      <w:r w:rsidRPr="00FB0929">
        <w:rPr>
          <w:rFonts w:ascii="Book Antiqua" w:hAnsi="Book Antiqua"/>
          <w:sz w:val="24"/>
          <w:szCs w:val="24"/>
        </w:rPr>
        <w:t xml:space="preserve">Based on the validation data from the material experts, the average score of the curriculum aspect was 4.4 with a percentage of assessment of the learning video curriculum aspect of 88%, the average score of the material suitability aspect was 4.36 with a percentage of 87%, the learning quality aspect with a score of 4.5 and a percentage of 90%, the average score of the availability of additional resources aspect was 4.75 with a percentage of assessment of the learning video curriculum aspect of 95%, and then the evaluation aspect with a score of 4.5 with a percentage of 90%. From the five aspects, an average of 4.50 with a percentage of 90% was obtained and included in the </w:t>
      </w:r>
      <w:r w:rsidR="004B5C37">
        <w:rPr>
          <w:rFonts w:ascii="Book Antiqua" w:hAnsi="Book Antiqua"/>
          <w:sz w:val="24"/>
          <w:szCs w:val="24"/>
        </w:rPr>
        <w:t>“</w:t>
      </w:r>
      <w:r w:rsidRPr="00FB0929">
        <w:rPr>
          <w:rFonts w:ascii="Book Antiqua" w:hAnsi="Book Antiqua"/>
          <w:sz w:val="24"/>
          <w:szCs w:val="24"/>
        </w:rPr>
        <w:t>Very Appropriate</w:t>
      </w:r>
      <w:r w:rsidR="004B5C37">
        <w:rPr>
          <w:rFonts w:ascii="Book Antiqua" w:hAnsi="Book Antiqua"/>
          <w:sz w:val="24"/>
          <w:szCs w:val="24"/>
        </w:rPr>
        <w:t>”</w:t>
      </w:r>
      <w:r w:rsidRPr="00FB0929">
        <w:rPr>
          <w:rFonts w:ascii="Book Antiqua" w:hAnsi="Book Antiqua"/>
          <w:sz w:val="24"/>
          <w:szCs w:val="24"/>
        </w:rPr>
        <w:t xml:space="preserve"> category. Revisions to the material expert questionnaire were made so that the sentences in the indicators were made concisely. And the calculation results used percentages.</w:t>
      </w:r>
    </w:p>
    <w:p w14:paraId="79D964C9" w14:textId="77777777" w:rsidR="00D34087" w:rsidRDefault="00D34087" w:rsidP="00EA2995">
      <w:pPr>
        <w:spacing w:after="0" w:line="240" w:lineRule="auto"/>
        <w:jc w:val="both"/>
        <w:rPr>
          <w:rFonts w:ascii="Book Antiqua" w:hAnsi="Book Antiqua" w:cs="Arial"/>
          <w:sz w:val="24"/>
          <w:szCs w:val="24"/>
        </w:rPr>
      </w:pPr>
    </w:p>
    <w:p w14:paraId="23FC7EFD" w14:textId="77777777" w:rsidR="00C469A2" w:rsidRPr="00C469A2" w:rsidRDefault="00C469A2" w:rsidP="00EA2995">
      <w:pPr>
        <w:spacing w:after="0" w:line="240" w:lineRule="auto"/>
        <w:jc w:val="both"/>
        <w:rPr>
          <w:rFonts w:ascii="Book Antiqua" w:hAnsi="Book Antiqua" w:cs="Arial"/>
          <w:sz w:val="24"/>
          <w:szCs w:val="24"/>
        </w:rPr>
      </w:pPr>
    </w:p>
    <w:p w14:paraId="28A06F14" w14:textId="77777777" w:rsidR="006B133B" w:rsidRPr="006B133B" w:rsidRDefault="006B133B" w:rsidP="006B133B">
      <w:pPr>
        <w:pStyle w:val="NoSpacing"/>
        <w:jc w:val="both"/>
        <w:rPr>
          <w:rFonts w:ascii="Book Antiqua" w:hAnsi="Book Antiqua"/>
          <w:sz w:val="24"/>
          <w:szCs w:val="24"/>
        </w:rPr>
      </w:pPr>
      <w:r w:rsidRPr="006B133B">
        <w:rPr>
          <w:rFonts w:ascii="Book Antiqua" w:hAnsi="Book Antiqua"/>
          <w:sz w:val="24"/>
          <w:szCs w:val="24"/>
        </w:rPr>
        <w:t xml:space="preserve">Based on the assessment data from media experts, the average score of the user experience aspect was 4.3 with a percentage of the assessment of the learning video curriculum aspect of 86%, the average score of the performance and quality aspects </w:t>
      </w:r>
      <w:r w:rsidRPr="006B133B">
        <w:rPr>
          <w:rFonts w:ascii="Book Antiqua" w:hAnsi="Book Antiqua"/>
          <w:sz w:val="24"/>
          <w:szCs w:val="24"/>
        </w:rPr>
        <w:lastRenderedPageBreak/>
        <w:t xml:space="preserve">was 4.16 with a percentage of 83%, the circuit simulation aspect had a score of 3.6 and a percentage of 73%, the average score of the component relationship analysis aspect was 4 with a percentage of the assessment of the learning video curriculum aspect of 80%, and then the interactive learning aspect had a score of 5 with a percentage of 100%. Of the five aspects, an average of 4.21 was obtained with a percentage of 84.4% and was included in the </w:t>
      </w:r>
      <w:r w:rsidR="004B5C37">
        <w:rPr>
          <w:rFonts w:ascii="Book Antiqua" w:hAnsi="Book Antiqua"/>
          <w:sz w:val="24"/>
          <w:szCs w:val="24"/>
        </w:rPr>
        <w:t>“</w:t>
      </w:r>
      <w:r w:rsidRPr="006B133B">
        <w:rPr>
          <w:rFonts w:ascii="Book Antiqua" w:hAnsi="Book Antiqua"/>
          <w:sz w:val="24"/>
          <w:szCs w:val="24"/>
        </w:rPr>
        <w:t>Very Eligible</w:t>
      </w:r>
      <w:r w:rsidR="004B5C37">
        <w:rPr>
          <w:rFonts w:ascii="Book Antiqua" w:hAnsi="Book Antiqua"/>
          <w:sz w:val="24"/>
          <w:szCs w:val="24"/>
        </w:rPr>
        <w:t>”</w:t>
      </w:r>
      <w:r w:rsidRPr="006B133B">
        <w:rPr>
          <w:rFonts w:ascii="Book Antiqua" w:hAnsi="Book Antiqua"/>
          <w:sz w:val="24"/>
          <w:szCs w:val="24"/>
        </w:rPr>
        <w:t xml:space="preserve"> category.</w:t>
      </w:r>
    </w:p>
    <w:p w14:paraId="2DD20A77" w14:textId="77777777" w:rsidR="006B133B" w:rsidRPr="00C469A2" w:rsidRDefault="006B133B" w:rsidP="00EA2995">
      <w:pPr>
        <w:spacing w:after="0" w:line="240" w:lineRule="auto"/>
        <w:jc w:val="both"/>
        <w:rPr>
          <w:rFonts w:ascii="Book Antiqua" w:hAnsi="Book Antiqua" w:cs="Arial"/>
          <w:b/>
          <w:sz w:val="24"/>
          <w:szCs w:val="24"/>
        </w:rPr>
      </w:pPr>
    </w:p>
    <w:p w14:paraId="6DE8338C" w14:textId="77777777" w:rsidR="006B133B" w:rsidRPr="006B133B" w:rsidRDefault="006B133B" w:rsidP="006B133B">
      <w:pPr>
        <w:pStyle w:val="NoSpacing"/>
        <w:jc w:val="both"/>
        <w:rPr>
          <w:rFonts w:ascii="Book Antiqua" w:hAnsi="Book Antiqua"/>
          <w:sz w:val="24"/>
          <w:szCs w:val="24"/>
        </w:rPr>
      </w:pPr>
      <w:r w:rsidRPr="006B133B">
        <w:rPr>
          <w:rFonts w:ascii="Book Antiqua" w:hAnsi="Book Antiqua"/>
          <w:sz w:val="24"/>
          <w:szCs w:val="24"/>
        </w:rPr>
        <w:t xml:space="preserve">Based on the validation data from Information Technology experts, it can be seen that the average score of the Suitability aspect with user needs is 4.6 with a percentage of the assessment of the Suitability aspect with user needs of the learning video of 92%, the average score of the Interactivity aspect is 4 with a percentage of 80%, the ease of use aspect with a score of 4 and a percentage of 80%, the average score of the Simulation Quality aspect is 4 with a percentage of the assessment of the Simulation Quality aspect of the learning video of 80%, and then the performance aspect with a score of 3 with a percentage of 60%. Then the learning and understanding aspect with a score of 4 with a percentage of 80%. From the six aspects, an average of 3.93 was obtained with a percentage of 78.67% and is included in the </w:t>
      </w:r>
      <w:r w:rsidR="004B5C37">
        <w:rPr>
          <w:rFonts w:ascii="Book Antiqua" w:hAnsi="Book Antiqua"/>
          <w:sz w:val="24"/>
          <w:szCs w:val="24"/>
        </w:rPr>
        <w:t>“</w:t>
      </w:r>
      <w:r w:rsidR="002541AB">
        <w:rPr>
          <w:rFonts w:ascii="Book Antiqua" w:hAnsi="Book Antiqua"/>
          <w:sz w:val="24"/>
          <w:szCs w:val="24"/>
        </w:rPr>
        <w:t>Eligible</w:t>
      </w:r>
      <w:r w:rsidR="004B5C37">
        <w:rPr>
          <w:rFonts w:ascii="Book Antiqua" w:hAnsi="Book Antiqua"/>
          <w:sz w:val="24"/>
          <w:szCs w:val="24"/>
        </w:rPr>
        <w:t>”</w:t>
      </w:r>
      <w:r w:rsidRPr="006B133B">
        <w:rPr>
          <w:rFonts w:ascii="Book Antiqua" w:hAnsi="Book Antiqua"/>
          <w:sz w:val="24"/>
          <w:szCs w:val="24"/>
        </w:rPr>
        <w:t xml:space="preserve"> category.</w:t>
      </w:r>
    </w:p>
    <w:p w14:paraId="000E642B" w14:textId="77777777" w:rsidR="006B133B" w:rsidRDefault="006B133B" w:rsidP="00EA2995">
      <w:pPr>
        <w:spacing w:after="0" w:line="240" w:lineRule="auto"/>
        <w:jc w:val="both"/>
        <w:rPr>
          <w:rFonts w:ascii="Book Antiqua" w:hAnsi="Book Antiqua" w:cs="Arial"/>
          <w:sz w:val="24"/>
          <w:szCs w:val="24"/>
        </w:rPr>
      </w:pPr>
    </w:p>
    <w:p w14:paraId="43258516" w14:textId="77777777" w:rsidR="002541AB" w:rsidRPr="002541AB" w:rsidRDefault="002541AB" w:rsidP="002541AB">
      <w:pPr>
        <w:pStyle w:val="NoSpacing"/>
        <w:jc w:val="both"/>
        <w:rPr>
          <w:rFonts w:ascii="Book Antiqua" w:hAnsi="Book Antiqua"/>
          <w:sz w:val="24"/>
          <w:szCs w:val="24"/>
        </w:rPr>
      </w:pPr>
      <w:r w:rsidRPr="002541AB">
        <w:rPr>
          <w:rFonts w:ascii="Book Antiqua" w:hAnsi="Book Antiqua"/>
          <w:sz w:val="24"/>
          <w:szCs w:val="24"/>
        </w:rPr>
        <w:t xml:space="preserve">Revision of the results of the informatics expert questionnaire, sentences on the indicators to make more specific statements, not questions that will be broad. Based on data from education practitioners, the average score of the content quality aspect was 4.33 with a percentage of assessment of the learning video curriculum aspect of 86.66%, the average score of the interactivity aspect was 4.5 with a percentage of 90%, the design and navigation aspect had a score of 4.16 and a percentage of 83.33%, the average score of the user involvement aspect was 4.25 with a percentage of assessment of the learning video curriculum aspect of 85%, and then the aspect of learning effectiveness had a score of 4 with a percentage of 80%. Then the aspect of suitability with the curriculum with a score of 4.75 with a percentage of 95%. Of the five aspects, an average of 4.33 was obtained with a percentage of 86.67% and was included in the </w:t>
      </w:r>
      <w:r w:rsidR="004B5C37">
        <w:rPr>
          <w:rFonts w:ascii="Book Antiqua" w:hAnsi="Book Antiqua"/>
          <w:sz w:val="24"/>
          <w:szCs w:val="24"/>
        </w:rPr>
        <w:t>“</w:t>
      </w:r>
      <w:r w:rsidRPr="002541AB">
        <w:rPr>
          <w:rFonts w:ascii="Book Antiqua" w:hAnsi="Book Antiqua"/>
          <w:sz w:val="24"/>
          <w:szCs w:val="24"/>
        </w:rPr>
        <w:t>Very Eligible</w:t>
      </w:r>
      <w:r w:rsidR="004B5C37">
        <w:rPr>
          <w:rFonts w:ascii="Book Antiqua" w:hAnsi="Book Antiqua"/>
          <w:sz w:val="24"/>
          <w:szCs w:val="24"/>
        </w:rPr>
        <w:t>”</w:t>
      </w:r>
      <w:r w:rsidRPr="002541AB">
        <w:rPr>
          <w:rFonts w:ascii="Book Antiqua" w:hAnsi="Book Antiqua"/>
          <w:sz w:val="24"/>
          <w:szCs w:val="24"/>
        </w:rPr>
        <w:t xml:space="preserve"> category.</w:t>
      </w:r>
    </w:p>
    <w:p w14:paraId="116F7111" w14:textId="77777777" w:rsidR="002541AB" w:rsidRDefault="002541AB" w:rsidP="00EA2995">
      <w:pPr>
        <w:spacing w:after="0" w:line="240" w:lineRule="auto"/>
        <w:jc w:val="both"/>
        <w:rPr>
          <w:rFonts w:ascii="Book Antiqua" w:hAnsi="Book Antiqua" w:cs="Arial"/>
          <w:sz w:val="24"/>
          <w:szCs w:val="24"/>
        </w:rPr>
      </w:pPr>
    </w:p>
    <w:p w14:paraId="7B5152A4" w14:textId="77777777" w:rsidR="002541AB" w:rsidRPr="002541AB" w:rsidRDefault="002541AB" w:rsidP="002541AB">
      <w:pPr>
        <w:pStyle w:val="NoSpacing"/>
        <w:jc w:val="both"/>
        <w:rPr>
          <w:rFonts w:ascii="Book Antiqua" w:hAnsi="Book Antiqua"/>
          <w:sz w:val="24"/>
          <w:szCs w:val="24"/>
        </w:rPr>
      </w:pPr>
      <w:r w:rsidRPr="002541AB">
        <w:rPr>
          <w:rFonts w:ascii="Book Antiqua" w:hAnsi="Book Antiqua"/>
          <w:sz w:val="24"/>
          <w:szCs w:val="24"/>
        </w:rPr>
        <w:t>In this study, a learning plan for the application of electronic circuits was made in a learning video as a guide to implementing teaching and learning activities in the classroom. The learning process begins with the implementation of providing a brief overview of the pre-test to measure students</w:t>
      </w:r>
      <w:r w:rsidR="00DF1005">
        <w:rPr>
          <w:rFonts w:ascii="Book Antiqua" w:hAnsi="Book Antiqua"/>
          <w:sz w:val="24"/>
          <w:szCs w:val="24"/>
        </w:rPr>
        <w:t>’</w:t>
      </w:r>
      <w:r w:rsidRPr="002541AB">
        <w:rPr>
          <w:rFonts w:ascii="Book Antiqua" w:hAnsi="Book Antiqua"/>
          <w:sz w:val="24"/>
          <w:szCs w:val="24"/>
        </w:rPr>
        <w:t xml:space="preserve"> initial knowledge of the Livewire and PCB Wizard material. After that, students took the pre-test on March 26, 2024, then followed the learning session that had been designed in the learning video. The learning video explains the steps of learning activities starting from the introduction, core activities, and closing. On March 27, 2024, in the learning activity, students were told about the components that would be used in the Livewire and PCB Wizard applications, and then students were given an interactive video before taking part in the practice using a computer or laptop that had the Livewire and PCB Wizard </w:t>
      </w:r>
      <w:r w:rsidRPr="002541AB">
        <w:rPr>
          <w:rFonts w:ascii="Book Antiqua" w:hAnsi="Book Antiqua"/>
          <w:sz w:val="24"/>
          <w:szCs w:val="24"/>
        </w:rPr>
        <w:lastRenderedPageBreak/>
        <w:t>applications installed. In the interactive video, students are introduced to the symbols used in the circuit that will be drawn on the image screen and how to move the components in the gallery menu.</w:t>
      </w:r>
    </w:p>
    <w:p w14:paraId="79DC69FE" w14:textId="77777777" w:rsidR="002541AB" w:rsidRDefault="002541AB" w:rsidP="00EA2995">
      <w:pPr>
        <w:spacing w:after="0" w:line="240" w:lineRule="auto"/>
        <w:jc w:val="both"/>
        <w:rPr>
          <w:rFonts w:ascii="Book Antiqua" w:hAnsi="Book Antiqua" w:cs="Arial"/>
          <w:sz w:val="24"/>
          <w:szCs w:val="24"/>
        </w:rPr>
      </w:pPr>
    </w:p>
    <w:p w14:paraId="17DB1E67" w14:textId="77777777" w:rsidR="002541AB" w:rsidRPr="002541AB" w:rsidRDefault="002541AB" w:rsidP="002541AB">
      <w:pPr>
        <w:pStyle w:val="NoSpacing"/>
        <w:jc w:val="both"/>
        <w:rPr>
          <w:rFonts w:ascii="Book Antiqua" w:hAnsi="Book Antiqua"/>
          <w:sz w:val="24"/>
          <w:szCs w:val="24"/>
        </w:rPr>
      </w:pPr>
      <w:r w:rsidRPr="002541AB">
        <w:rPr>
          <w:rFonts w:ascii="Book Antiqua" w:hAnsi="Book Antiqua"/>
          <w:sz w:val="24"/>
          <w:szCs w:val="24"/>
        </w:rPr>
        <w:t>At the next meeting on April 15, 2024, a picture of a light sensor circuit was given as an example to create a picture of a circuit that will be made by students or other sensor pictures agreed upon by each group as an assignment that must be completed by students. Then on April 3, 2024, learning with the Livewire and PCB Wizard applications, as well as group practice, allows students to understand basic concepts in electronics and circuit design in an interactive and practical way. April 16, 2024 Through Livewire, students can simulate electronic circuits and see how components work in real-time. On April 17, 2024, PCB Wizard material was given, which can help them design and produce printed circuit boards easily. Group practice improves collaboration and communication skills between students and provides a comprehensive learning experience, from theory to practical applications in the real world.</w:t>
      </w:r>
    </w:p>
    <w:p w14:paraId="4C2A02E6" w14:textId="77777777" w:rsidR="00C469A2" w:rsidRPr="00C469A2" w:rsidRDefault="00C469A2" w:rsidP="00EA2995">
      <w:pPr>
        <w:spacing w:after="0" w:line="240" w:lineRule="auto"/>
        <w:jc w:val="both"/>
        <w:rPr>
          <w:rFonts w:ascii="Book Antiqua" w:hAnsi="Book Antiqua" w:cs="Arial"/>
          <w:sz w:val="24"/>
          <w:szCs w:val="24"/>
        </w:rPr>
      </w:pPr>
    </w:p>
    <w:p w14:paraId="02BE1537" w14:textId="77777777" w:rsidR="002541AB" w:rsidRPr="002541AB" w:rsidRDefault="002541AB" w:rsidP="002541AB">
      <w:pPr>
        <w:pStyle w:val="NoSpacing"/>
        <w:jc w:val="both"/>
        <w:rPr>
          <w:rFonts w:ascii="Book Antiqua" w:hAnsi="Book Antiqua"/>
          <w:sz w:val="24"/>
          <w:szCs w:val="24"/>
        </w:rPr>
      </w:pPr>
      <w:r w:rsidRPr="002541AB">
        <w:rPr>
          <w:rFonts w:ascii="Book Antiqua" w:hAnsi="Book Antiqua"/>
          <w:sz w:val="24"/>
          <w:szCs w:val="24"/>
        </w:rPr>
        <w:t>Group assignments using the Livewire and PCB Wizard applications allow students to work together to understand the basic concepts of electronics and circuit design. In groups, students can share ideas with each other, simulate circuits with Livewire, and design and produce printed circuit boards using PCB Wizard. Collaboration in this group not only improves technical understanding but also develops collaborative and communication skills that are important in the workplace. After the learning is complete, a post-test was conducted on April 23, 2024, to assess the increase in students</w:t>
      </w:r>
      <w:r w:rsidR="00DF1005">
        <w:rPr>
          <w:rFonts w:ascii="Book Antiqua" w:hAnsi="Book Antiqua"/>
          <w:sz w:val="24"/>
          <w:szCs w:val="24"/>
        </w:rPr>
        <w:t>’</w:t>
      </w:r>
      <w:r w:rsidRPr="002541AB">
        <w:rPr>
          <w:rFonts w:ascii="Book Antiqua" w:hAnsi="Book Antiqua"/>
          <w:sz w:val="24"/>
          <w:szCs w:val="24"/>
        </w:rPr>
        <w:t xml:space="preserve"> understanding of the material that has been taught. To ensure that the assessment instruments used are valid and reliable, an instrument validation process was carried out. Through this process, a value was produced that showed a good increase in students</w:t>
      </w:r>
      <w:r w:rsidR="00DF1005">
        <w:rPr>
          <w:rFonts w:ascii="Book Antiqua" w:hAnsi="Book Antiqua"/>
          <w:sz w:val="24"/>
          <w:szCs w:val="24"/>
        </w:rPr>
        <w:t>’</w:t>
      </w:r>
      <w:r w:rsidRPr="002541AB">
        <w:rPr>
          <w:rFonts w:ascii="Book Antiqua" w:hAnsi="Book Antiqua"/>
          <w:sz w:val="24"/>
          <w:szCs w:val="24"/>
        </w:rPr>
        <w:t xml:space="preserve"> understanding after following the designed learning.</w:t>
      </w:r>
    </w:p>
    <w:p w14:paraId="5140826C" w14:textId="77777777" w:rsidR="00C469A2" w:rsidRDefault="00C469A2" w:rsidP="00EA2995">
      <w:pPr>
        <w:spacing w:after="0" w:line="240" w:lineRule="auto"/>
        <w:jc w:val="both"/>
        <w:rPr>
          <w:rFonts w:ascii="Book Antiqua" w:hAnsi="Book Antiqua" w:cs="Arial"/>
          <w:sz w:val="24"/>
          <w:szCs w:val="24"/>
        </w:rPr>
      </w:pPr>
    </w:p>
    <w:p w14:paraId="32D83FDB" w14:textId="1DE86BFF" w:rsidR="002541AB" w:rsidRPr="002541AB" w:rsidRDefault="002541AB" w:rsidP="002541AB">
      <w:pPr>
        <w:pStyle w:val="NoSpacing"/>
        <w:jc w:val="both"/>
        <w:rPr>
          <w:rFonts w:ascii="Book Antiqua" w:hAnsi="Book Antiqua"/>
          <w:sz w:val="24"/>
          <w:szCs w:val="24"/>
        </w:rPr>
      </w:pPr>
      <w:r w:rsidRPr="002541AB">
        <w:rPr>
          <w:rFonts w:ascii="Book Antiqua" w:hAnsi="Book Antiqua"/>
          <w:sz w:val="24"/>
          <w:szCs w:val="24"/>
        </w:rPr>
        <w:t>In the teaching and learning activities of how to do the application at the beginning of the research in the class, the researcher conducted a pretest. From the results of the pretest conducted by the researcher in the experimental class on Tuesday, March 23, 2024, in class XI.1 TAV, an average of 74.23 was obtained with a percentage of completion of 80.76% (KKM 70). Then the researcher provided learning materials by implementing interactive videos about the PCB Wizard livewire so that students understand how to make electronic circuits and their simulations, and then the posttest on April 23, 2024, obtained an average of 79.23 with a percentage of completion of 92.3%. From t</w:t>
      </w:r>
      <w:r w:rsidR="00985843">
        <w:rPr>
          <w:rFonts w:ascii="Book Antiqua" w:hAnsi="Book Antiqua"/>
          <w:sz w:val="24"/>
          <w:szCs w:val="24"/>
        </w:rPr>
        <w:t>he data</w:t>
      </w:r>
      <w:r w:rsidRPr="002541AB">
        <w:rPr>
          <w:rFonts w:ascii="Book Antiqua" w:hAnsi="Book Antiqua"/>
          <w:sz w:val="24"/>
          <w:szCs w:val="24"/>
        </w:rPr>
        <w:t xml:space="preserve"> Classical Completeness Assessment Classification, the percentage is included in Very Good.</w:t>
      </w:r>
    </w:p>
    <w:p w14:paraId="2D167E24" w14:textId="77777777" w:rsidR="002541AB" w:rsidRPr="00C469A2" w:rsidRDefault="002541AB" w:rsidP="00EA2995">
      <w:pPr>
        <w:spacing w:after="0" w:line="240" w:lineRule="auto"/>
        <w:jc w:val="both"/>
        <w:rPr>
          <w:rFonts w:ascii="Book Antiqua" w:hAnsi="Book Antiqua" w:cs="Arial"/>
          <w:sz w:val="24"/>
          <w:szCs w:val="24"/>
        </w:rPr>
      </w:pPr>
    </w:p>
    <w:p w14:paraId="52F1ECCA" w14:textId="77777777" w:rsidR="002541AB" w:rsidRPr="00DE0CF2" w:rsidRDefault="002541AB" w:rsidP="00DE0CF2">
      <w:pPr>
        <w:pStyle w:val="NoSpacing"/>
        <w:jc w:val="both"/>
        <w:rPr>
          <w:rFonts w:ascii="Book Antiqua" w:hAnsi="Book Antiqua"/>
          <w:sz w:val="24"/>
          <w:szCs w:val="24"/>
        </w:rPr>
      </w:pPr>
      <w:r w:rsidRPr="00DE0CF2">
        <w:rPr>
          <w:rFonts w:ascii="Book Antiqua" w:hAnsi="Book Antiqua"/>
          <w:sz w:val="24"/>
          <w:szCs w:val="24"/>
        </w:rPr>
        <w:t xml:space="preserve">For the control class, the pretest results conducted by the researcher in the control class on Wednesday, March 28, 2024, in class XI.2 TAV, obtained an average of 66.54 with a completion percentage of 50% (KKM 70) with a fairly good assessment </w:t>
      </w:r>
      <w:r w:rsidRPr="00DE0CF2">
        <w:rPr>
          <w:rFonts w:ascii="Book Antiqua" w:hAnsi="Book Antiqua"/>
          <w:sz w:val="24"/>
          <w:szCs w:val="24"/>
        </w:rPr>
        <w:lastRenderedPageBreak/>
        <w:t>classification. Then the material in the control class was given using conventional learning methods involving theoretical explanations in front of the class, focusing on the Livewire and PCB Wizard applications. Then at the meeting on April 4, 2024, without using interactive learning videos, the functions and benefits of each application were explained in the design and simulation of electronic circuits. The use of a whiteboard and slide presentations helped clarify the steps for using the two applications.</w:t>
      </w:r>
    </w:p>
    <w:p w14:paraId="2615E6B0" w14:textId="77777777" w:rsidR="00D34087" w:rsidRDefault="00D34087" w:rsidP="00EA2995">
      <w:pPr>
        <w:spacing w:after="0" w:line="240" w:lineRule="auto"/>
        <w:jc w:val="both"/>
        <w:rPr>
          <w:rFonts w:ascii="Book Antiqua" w:hAnsi="Book Antiqua" w:cs="Arial"/>
          <w:sz w:val="24"/>
          <w:szCs w:val="24"/>
        </w:rPr>
      </w:pPr>
    </w:p>
    <w:p w14:paraId="313FB798" w14:textId="1AA89549" w:rsidR="00721441" w:rsidRPr="00721441" w:rsidRDefault="00721441" w:rsidP="00721441">
      <w:pPr>
        <w:pStyle w:val="NoSpacing"/>
        <w:jc w:val="both"/>
        <w:rPr>
          <w:rFonts w:ascii="Book Antiqua" w:hAnsi="Book Antiqua"/>
          <w:sz w:val="24"/>
          <w:szCs w:val="24"/>
        </w:rPr>
      </w:pPr>
      <w:r w:rsidRPr="00721441">
        <w:rPr>
          <w:rFonts w:ascii="Book Antiqua" w:hAnsi="Book Antiqua"/>
          <w:sz w:val="24"/>
          <w:szCs w:val="24"/>
        </w:rPr>
        <w:t xml:space="preserve">During the learning process, students were encouraged to ask questions and discuss to deepen their understanding. Then on April 18, 2024, practical examples and practice questions were given to ensure that students could apply the theories learned using Livewire and PCB Wizard in real situations. This method aims to build a strong foundation in understanding the concept of control and the application of these technologies before moving on to more complex projects. The pretest results showed a difference between the control class and the experimental class. Students in the control class who received material about the Livewire and PCB Wizard applications through conventional learning methods tended to have a strong basic understanding but lacked in terms of practical application. In contrast, students in the experimental class who used both applications directly and collaborated in groups showed an increase in understanding both theoretically and practically, as well as better collaborative skills. This difference in results highlights the effectiveness of a more interactive and practical learning approach in improving student competence. Then the posttest on April 24, 2024, obtained an average of 71.92 with a completion percentage of 73%. From </w:t>
      </w:r>
      <w:r w:rsidR="00985843">
        <w:rPr>
          <w:rFonts w:ascii="Book Antiqua" w:hAnsi="Book Antiqua"/>
          <w:sz w:val="24"/>
          <w:szCs w:val="24"/>
        </w:rPr>
        <w:t>data</w:t>
      </w:r>
      <w:r w:rsidRPr="00721441">
        <w:rPr>
          <w:rFonts w:ascii="Book Antiqua" w:hAnsi="Book Antiqua"/>
          <w:sz w:val="24"/>
          <w:szCs w:val="24"/>
        </w:rPr>
        <w:t xml:space="preserve"> Classical Completion Assessment Classification, the percentage is good.</w:t>
      </w:r>
    </w:p>
    <w:p w14:paraId="74730AE5" w14:textId="77777777" w:rsidR="00D34087" w:rsidRPr="00366BCF" w:rsidRDefault="00D34087" w:rsidP="00EA2995">
      <w:pPr>
        <w:spacing w:after="0" w:line="240" w:lineRule="auto"/>
        <w:jc w:val="both"/>
        <w:rPr>
          <w:rFonts w:ascii="Book Antiqua" w:hAnsi="Book Antiqua" w:cs="Arial"/>
          <w:sz w:val="24"/>
          <w:szCs w:val="24"/>
          <w:lang w:val="id-ID"/>
        </w:rPr>
      </w:pPr>
    </w:p>
    <w:p w14:paraId="7C75FABC" w14:textId="77777777" w:rsidR="00D34087" w:rsidRPr="00366BCF" w:rsidRDefault="00D34087" w:rsidP="00EA2995">
      <w:pPr>
        <w:spacing w:after="0" w:line="240" w:lineRule="auto"/>
        <w:jc w:val="both"/>
        <w:rPr>
          <w:rFonts w:ascii="Book Antiqua" w:hAnsi="Book Antiqua" w:cs="Arial"/>
          <w:b/>
          <w:sz w:val="24"/>
          <w:szCs w:val="24"/>
          <w:lang w:val="id-ID"/>
        </w:rPr>
      </w:pPr>
      <w:r w:rsidRPr="00366BCF">
        <w:rPr>
          <w:rFonts w:ascii="Book Antiqua" w:hAnsi="Book Antiqua" w:cs="Arial"/>
          <w:b/>
          <w:sz w:val="24"/>
          <w:szCs w:val="24"/>
          <w:lang w:val="id-ID"/>
        </w:rPr>
        <w:t xml:space="preserve">2. </w:t>
      </w:r>
      <w:r w:rsidR="00721441" w:rsidRPr="00721441">
        <w:rPr>
          <w:rFonts w:ascii="Book Antiqua" w:hAnsi="Book Antiqua" w:cs="Arial"/>
          <w:b/>
          <w:sz w:val="24"/>
          <w:szCs w:val="24"/>
          <w:lang w:val="id-ID"/>
        </w:rPr>
        <w:t>Discussion of Effectiveness Results</w:t>
      </w:r>
    </w:p>
    <w:p w14:paraId="5520EEC3" w14:textId="77777777" w:rsidR="00721441" w:rsidRDefault="00721441" w:rsidP="00EA2995">
      <w:pPr>
        <w:adjustRightInd w:val="0"/>
        <w:spacing w:after="0" w:line="240" w:lineRule="auto"/>
        <w:jc w:val="both"/>
        <w:rPr>
          <w:rFonts w:ascii="Book Antiqua" w:hAnsi="Book Antiqua" w:cs="Arial"/>
          <w:sz w:val="24"/>
          <w:szCs w:val="24"/>
        </w:rPr>
      </w:pPr>
    </w:p>
    <w:p w14:paraId="6B74A167" w14:textId="77777777" w:rsidR="00721441" w:rsidRPr="00721441" w:rsidRDefault="00721441" w:rsidP="00721441">
      <w:pPr>
        <w:pStyle w:val="NoSpacing"/>
        <w:jc w:val="both"/>
        <w:rPr>
          <w:rFonts w:ascii="Book Antiqua" w:hAnsi="Book Antiqua"/>
          <w:sz w:val="24"/>
          <w:szCs w:val="24"/>
        </w:rPr>
      </w:pPr>
      <w:r w:rsidRPr="00721441">
        <w:rPr>
          <w:rFonts w:ascii="Book Antiqua" w:hAnsi="Book Antiqua"/>
          <w:sz w:val="24"/>
          <w:szCs w:val="24"/>
        </w:rPr>
        <w:t>From the results of the questionnaire given to students to assess the effectiveness of learning videos, the results of the data obtained with a total value of 1179 divided by the maximum questionnaire value of 1300, then multiplied by 100%, the percentage obtained was 90.07%. With an average score obtained from the total score per item divided by the number of students, it was 4.53. So that learning videos can be categorized as effective and practical.</w:t>
      </w:r>
    </w:p>
    <w:p w14:paraId="7460E234" w14:textId="77777777" w:rsidR="00D34087" w:rsidRDefault="00D34087" w:rsidP="00EA2995">
      <w:pPr>
        <w:spacing w:after="0" w:line="240" w:lineRule="auto"/>
        <w:jc w:val="both"/>
        <w:rPr>
          <w:rFonts w:ascii="Book Antiqua" w:hAnsi="Book Antiqua" w:cs="Arial"/>
          <w:b/>
          <w:sz w:val="24"/>
          <w:szCs w:val="24"/>
        </w:rPr>
      </w:pPr>
    </w:p>
    <w:p w14:paraId="43D2D369" w14:textId="77777777" w:rsidR="00D34087" w:rsidRPr="00366BCF" w:rsidRDefault="00D34087" w:rsidP="00EA2995">
      <w:pPr>
        <w:spacing w:after="0" w:line="240" w:lineRule="auto"/>
        <w:jc w:val="both"/>
        <w:rPr>
          <w:rFonts w:ascii="Book Antiqua" w:hAnsi="Book Antiqua" w:cs="Arial"/>
          <w:b/>
          <w:sz w:val="24"/>
          <w:szCs w:val="24"/>
          <w:lang w:val="id-ID"/>
        </w:rPr>
      </w:pPr>
      <w:r w:rsidRPr="00366BCF">
        <w:rPr>
          <w:rFonts w:ascii="Book Antiqua" w:hAnsi="Book Antiqua" w:cs="Arial"/>
          <w:b/>
          <w:sz w:val="24"/>
          <w:szCs w:val="24"/>
          <w:lang w:val="id-ID"/>
        </w:rPr>
        <w:t xml:space="preserve">3. </w:t>
      </w:r>
      <w:r w:rsidR="00721441" w:rsidRPr="00721441">
        <w:rPr>
          <w:rFonts w:ascii="Book Antiqua" w:hAnsi="Book Antiqua" w:cs="Arial"/>
          <w:b/>
          <w:sz w:val="24"/>
          <w:szCs w:val="24"/>
          <w:lang w:val="id-ID"/>
        </w:rPr>
        <w:t>Benefits for Students and Teachers</w:t>
      </w:r>
    </w:p>
    <w:p w14:paraId="0A0539FD" w14:textId="77777777" w:rsidR="00721441" w:rsidRDefault="00721441" w:rsidP="00EA2995">
      <w:pPr>
        <w:pStyle w:val="ListParagraph"/>
        <w:tabs>
          <w:tab w:val="left" w:pos="1440"/>
          <w:tab w:val="left" w:pos="7230"/>
          <w:tab w:val="left" w:pos="7560"/>
          <w:tab w:val="left" w:pos="8789"/>
        </w:tabs>
        <w:spacing w:after="0" w:line="240" w:lineRule="auto"/>
        <w:ind w:left="0"/>
        <w:jc w:val="both"/>
        <w:rPr>
          <w:rFonts w:ascii="Book Antiqua" w:hAnsi="Book Antiqua" w:cs="Arial"/>
          <w:sz w:val="24"/>
          <w:szCs w:val="24"/>
        </w:rPr>
      </w:pPr>
    </w:p>
    <w:p w14:paraId="058E6665" w14:textId="77777777" w:rsidR="00721441" w:rsidRPr="00721441" w:rsidRDefault="00721441" w:rsidP="00721441">
      <w:pPr>
        <w:pStyle w:val="NoSpacing"/>
        <w:jc w:val="both"/>
        <w:rPr>
          <w:rFonts w:ascii="Book Antiqua" w:hAnsi="Book Antiqua"/>
          <w:sz w:val="24"/>
          <w:szCs w:val="24"/>
        </w:rPr>
      </w:pPr>
      <w:r w:rsidRPr="00721441">
        <w:rPr>
          <w:rFonts w:ascii="Book Antiqua" w:hAnsi="Book Antiqua"/>
          <w:sz w:val="24"/>
          <w:szCs w:val="24"/>
        </w:rPr>
        <w:t>Learning videos are easy to share via WhatsApp so that students can learn anytime, anywhere, using their gadgets. And for teachers, it is easier to convey material when there is not enough time to study at school.</w:t>
      </w:r>
      <w:r w:rsidR="00F75669">
        <w:rPr>
          <w:rFonts w:ascii="Book Antiqua" w:hAnsi="Book Antiqua"/>
          <w:sz w:val="24"/>
          <w:szCs w:val="24"/>
        </w:rPr>
        <w:t xml:space="preserve"> </w:t>
      </w:r>
      <w:r w:rsidRPr="00721441">
        <w:rPr>
          <w:rFonts w:ascii="Book Antiqua" w:hAnsi="Book Antiqua"/>
          <w:sz w:val="24"/>
          <w:szCs w:val="24"/>
        </w:rPr>
        <w:t xml:space="preserve">Effective learning video design is a crucial element in supporting the teaching and learning process, especially for technical software such as </w:t>
      </w:r>
      <w:proofErr w:type="spellStart"/>
      <w:r w:rsidRPr="00721441">
        <w:rPr>
          <w:rFonts w:ascii="Book Antiqua" w:hAnsi="Book Antiqua"/>
          <w:sz w:val="24"/>
          <w:szCs w:val="24"/>
        </w:rPr>
        <w:t>LiveWire</w:t>
      </w:r>
      <w:proofErr w:type="spellEnd"/>
      <w:r w:rsidRPr="00721441">
        <w:rPr>
          <w:rFonts w:ascii="Book Antiqua" w:hAnsi="Book Antiqua"/>
          <w:sz w:val="24"/>
          <w:szCs w:val="24"/>
        </w:rPr>
        <w:t xml:space="preserve"> and PCB Wizard. A good learning video not only explains the concept but also provides practical demonstrations that make it </w:t>
      </w:r>
      <w:r w:rsidRPr="00721441">
        <w:rPr>
          <w:rFonts w:ascii="Book Antiqua" w:hAnsi="Book Antiqua"/>
          <w:sz w:val="24"/>
          <w:szCs w:val="24"/>
        </w:rPr>
        <w:lastRenderedPageBreak/>
        <w:t>easier for students to unde</w:t>
      </w:r>
      <w:r w:rsidR="00F75669">
        <w:rPr>
          <w:rFonts w:ascii="Book Antiqua" w:hAnsi="Book Antiqua"/>
          <w:sz w:val="24"/>
          <w:szCs w:val="24"/>
        </w:rPr>
        <w:t xml:space="preserve">rstand and apply the knowledge. </w:t>
      </w:r>
      <w:r w:rsidRPr="00721441">
        <w:rPr>
          <w:rFonts w:ascii="Book Antiqua" w:hAnsi="Book Antiqua"/>
          <w:sz w:val="24"/>
          <w:szCs w:val="24"/>
        </w:rPr>
        <w:t xml:space="preserve">In this video, the basics of using </w:t>
      </w:r>
      <w:proofErr w:type="spellStart"/>
      <w:r w:rsidRPr="00721441">
        <w:rPr>
          <w:rFonts w:ascii="Book Antiqua" w:hAnsi="Book Antiqua"/>
          <w:sz w:val="24"/>
          <w:szCs w:val="24"/>
        </w:rPr>
        <w:t>LiveWire</w:t>
      </w:r>
      <w:proofErr w:type="spellEnd"/>
      <w:r w:rsidRPr="00721441">
        <w:rPr>
          <w:rFonts w:ascii="Book Antiqua" w:hAnsi="Book Antiqua"/>
          <w:sz w:val="24"/>
          <w:szCs w:val="24"/>
        </w:rPr>
        <w:t xml:space="preserve"> to simulate electronic circuits are learned.</w:t>
      </w:r>
    </w:p>
    <w:p w14:paraId="42FAEF1B" w14:textId="77777777" w:rsidR="00D34087" w:rsidRDefault="00D34087" w:rsidP="00EA2995">
      <w:pPr>
        <w:spacing w:after="0" w:line="240" w:lineRule="auto"/>
        <w:jc w:val="both"/>
        <w:rPr>
          <w:rFonts w:ascii="Book Antiqua" w:hAnsi="Book Antiqua" w:cs="Arial"/>
          <w:sz w:val="24"/>
          <w:szCs w:val="24"/>
        </w:rPr>
      </w:pPr>
    </w:p>
    <w:p w14:paraId="2FB3C46A" w14:textId="77777777" w:rsidR="003E5DF5" w:rsidRDefault="003E5DF5" w:rsidP="003E5DF5">
      <w:pPr>
        <w:pStyle w:val="NoSpacing"/>
        <w:jc w:val="both"/>
        <w:rPr>
          <w:rFonts w:ascii="Book Antiqua" w:hAnsi="Book Antiqua"/>
          <w:sz w:val="24"/>
          <w:szCs w:val="24"/>
        </w:rPr>
      </w:pPr>
      <w:r w:rsidRPr="003E5DF5">
        <w:rPr>
          <w:rFonts w:ascii="Book Antiqua" w:hAnsi="Book Antiqua"/>
          <w:sz w:val="24"/>
          <w:szCs w:val="24"/>
        </w:rPr>
        <w:t>To ensure that students in the control class can achieve good grades, here are s</w:t>
      </w:r>
      <w:r>
        <w:rPr>
          <w:rFonts w:ascii="Book Antiqua" w:hAnsi="Book Antiqua"/>
          <w:sz w:val="24"/>
          <w:szCs w:val="24"/>
        </w:rPr>
        <w:t>ome steps that can be taken:</w:t>
      </w:r>
    </w:p>
    <w:p w14:paraId="1E82D5AD" w14:textId="77777777" w:rsidR="003E5DF5" w:rsidRDefault="003E5DF5" w:rsidP="0004656B">
      <w:pPr>
        <w:pStyle w:val="NoSpacing"/>
        <w:numPr>
          <w:ilvl w:val="0"/>
          <w:numId w:val="2"/>
        </w:numPr>
        <w:jc w:val="both"/>
        <w:rPr>
          <w:rFonts w:ascii="Book Antiqua" w:hAnsi="Book Antiqua"/>
          <w:sz w:val="24"/>
          <w:szCs w:val="24"/>
        </w:rPr>
      </w:pPr>
      <w:r w:rsidRPr="003E5DF5">
        <w:rPr>
          <w:rFonts w:ascii="Book Antiqua" w:hAnsi="Book Antiqua"/>
          <w:sz w:val="24"/>
          <w:szCs w:val="24"/>
        </w:rPr>
        <w:t>Provide a more in-depth review of important concepts related to the Livewire and PCB Wizard applications. Emphasis on the basic understanding and working principles of these applications is important to ensure that all studen</w:t>
      </w:r>
      <w:r>
        <w:rPr>
          <w:rFonts w:ascii="Book Antiqua" w:hAnsi="Book Antiqua"/>
          <w:sz w:val="24"/>
          <w:szCs w:val="24"/>
        </w:rPr>
        <w:t>ts have a strong foundation.</w:t>
      </w:r>
    </w:p>
    <w:p w14:paraId="1C4C060C" w14:textId="77777777" w:rsidR="003E5DF5" w:rsidRDefault="003E5DF5" w:rsidP="0004656B">
      <w:pPr>
        <w:pStyle w:val="NoSpacing"/>
        <w:numPr>
          <w:ilvl w:val="0"/>
          <w:numId w:val="2"/>
        </w:numPr>
        <w:jc w:val="both"/>
        <w:rPr>
          <w:rFonts w:ascii="Book Antiqua" w:hAnsi="Book Antiqua"/>
          <w:sz w:val="24"/>
          <w:szCs w:val="24"/>
        </w:rPr>
      </w:pPr>
      <w:r w:rsidRPr="003E5DF5">
        <w:rPr>
          <w:rFonts w:ascii="Book Antiqua" w:hAnsi="Book Antiqua"/>
          <w:sz w:val="24"/>
          <w:szCs w:val="24"/>
        </w:rPr>
        <w:t>Provide additional exercises and assignments that focus on the application of theory in various practical scenarios. These exercises can help students deepen their understanding an</w:t>
      </w:r>
      <w:r>
        <w:rPr>
          <w:rFonts w:ascii="Book Antiqua" w:hAnsi="Book Antiqua"/>
          <w:sz w:val="24"/>
          <w:szCs w:val="24"/>
        </w:rPr>
        <w:t>d prepare them for the exam.</w:t>
      </w:r>
    </w:p>
    <w:p w14:paraId="2B90B6AE" w14:textId="77777777" w:rsidR="006F13EF" w:rsidRDefault="003E5DF5" w:rsidP="0004656B">
      <w:pPr>
        <w:pStyle w:val="NoSpacing"/>
        <w:numPr>
          <w:ilvl w:val="0"/>
          <w:numId w:val="2"/>
        </w:numPr>
        <w:jc w:val="both"/>
        <w:rPr>
          <w:rFonts w:ascii="Book Antiqua" w:hAnsi="Book Antiqua"/>
          <w:sz w:val="24"/>
          <w:szCs w:val="24"/>
        </w:rPr>
      </w:pPr>
      <w:r w:rsidRPr="003E5DF5">
        <w:rPr>
          <w:rFonts w:ascii="Book Antiqua" w:hAnsi="Book Antiqua"/>
          <w:sz w:val="24"/>
          <w:szCs w:val="24"/>
        </w:rPr>
        <w:t xml:space="preserve">Encourage discussions in small groups to facilitate better understanding through collaborative learning. Students can exchange ideas and </w:t>
      </w:r>
      <w:r w:rsidR="006F13EF">
        <w:rPr>
          <w:rFonts w:ascii="Book Antiqua" w:hAnsi="Book Antiqua"/>
          <w:sz w:val="24"/>
          <w:szCs w:val="24"/>
        </w:rPr>
        <w:t>solutions to problems given.</w:t>
      </w:r>
    </w:p>
    <w:p w14:paraId="69BCED27" w14:textId="77777777" w:rsidR="006F13EF" w:rsidRDefault="003E5DF5" w:rsidP="0004656B">
      <w:pPr>
        <w:pStyle w:val="NoSpacing"/>
        <w:numPr>
          <w:ilvl w:val="0"/>
          <w:numId w:val="2"/>
        </w:numPr>
        <w:jc w:val="both"/>
        <w:rPr>
          <w:rFonts w:ascii="Book Antiqua" w:hAnsi="Book Antiqua"/>
          <w:sz w:val="24"/>
          <w:szCs w:val="24"/>
        </w:rPr>
      </w:pPr>
      <w:r w:rsidRPr="003E5DF5">
        <w:rPr>
          <w:rFonts w:ascii="Book Antiqua" w:hAnsi="Book Antiqua"/>
          <w:sz w:val="24"/>
          <w:szCs w:val="24"/>
        </w:rPr>
        <w:t>Although the control class does not use direct applications in learning, structured practical sessions can be held in the workshop to provide studen</w:t>
      </w:r>
      <w:r w:rsidR="006F13EF">
        <w:rPr>
          <w:rFonts w:ascii="Book Antiqua" w:hAnsi="Book Antiqua"/>
          <w:sz w:val="24"/>
          <w:szCs w:val="24"/>
        </w:rPr>
        <w:t>ts with hands-on experience.</w:t>
      </w:r>
    </w:p>
    <w:p w14:paraId="0FE2D700" w14:textId="77777777" w:rsidR="006F13EF" w:rsidRDefault="003E5DF5" w:rsidP="0004656B">
      <w:pPr>
        <w:pStyle w:val="NoSpacing"/>
        <w:numPr>
          <w:ilvl w:val="0"/>
          <w:numId w:val="2"/>
        </w:numPr>
        <w:jc w:val="both"/>
        <w:rPr>
          <w:rFonts w:ascii="Book Antiqua" w:hAnsi="Book Antiqua"/>
          <w:sz w:val="24"/>
          <w:szCs w:val="24"/>
        </w:rPr>
      </w:pPr>
      <w:r w:rsidRPr="003E5DF5">
        <w:rPr>
          <w:rFonts w:ascii="Book Antiqua" w:hAnsi="Book Antiqua"/>
          <w:sz w:val="24"/>
          <w:szCs w:val="24"/>
        </w:rPr>
        <w:t>Provide time for students to get individual or small group guidance and consultation with the lecturer, helping them overcome difficul</w:t>
      </w:r>
      <w:r w:rsidR="006F13EF">
        <w:rPr>
          <w:rFonts w:ascii="Book Antiqua" w:hAnsi="Book Antiqua"/>
          <w:sz w:val="24"/>
          <w:szCs w:val="24"/>
        </w:rPr>
        <w:t>ties or confusion they face.</w:t>
      </w:r>
    </w:p>
    <w:p w14:paraId="0C5EC8B6" w14:textId="77777777" w:rsidR="006F13EF" w:rsidRDefault="003E5DF5" w:rsidP="0004656B">
      <w:pPr>
        <w:pStyle w:val="NoSpacing"/>
        <w:numPr>
          <w:ilvl w:val="0"/>
          <w:numId w:val="2"/>
        </w:numPr>
        <w:jc w:val="both"/>
        <w:rPr>
          <w:rFonts w:ascii="Book Antiqua" w:hAnsi="Book Antiqua"/>
          <w:sz w:val="24"/>
          <w:szCs w:val="24"/>
        </w:rPr>
      </w:pPr>
      <w:r w:rsidRPr="003E5DF5">
        <w:rPr>
          <w:rFonts w:ascii="Book Antiqua" w:hAnsi="Book Antiqua"/>
          <w:sz w:val="24"/>
          <w:szCs w:val="24"/>
        </w:rPr>
        <w:t>Use simulations and case studies in the learning materials to connect theory to real situations that students may encounter in us</w:t>
      </w:r>
      <w:r w:rsidR="006F13EF">
        <w:rPr>
          <w:rFonts w:ascii="Book Antiqua" w:hAnsi="Book Antiqua"/>
          <w:sz w:val="24"/>
          <w:szCs w:val="24"/>
        </w:rPr>
        <w:t>ing Livewire and PCB Wizard.</w:t>
      </w:r>
    </w:p>
    <w:p w14:paraId="2B4699F4" w14:textId="77777777" w:rsidR="003E5DF5" w:rsidRPr="003E5DF5" w:rsidRDefault="003E5DF5" w:rsidP="0004656B">
      <w:pPr>
        <w:pStyle w:val="NoSpacing"/>
        <w:numPr>
          <w:ilvl w:val="0"/>
          <w:numId w:val="2"/>
        </w:numPr>
        <w:jc w:val="both"/>
        <w:rPr>
          <w:rFonts w:ascii="Book Antiqua" w:hAnsi="Book Antiqua"/>
          <w:sz w:val="24"/>
          <w:szCs w:val="24"/>
        </w:rPr>
      </w:pPr>
      <w:r w:rsidRPr="003E5DF5">
        <w:rPr>
          <w:rFonts w:ascii="Book Antiqua" w:hAnsi="Book Antiqua"/>
          <w:sz w:val="24"/>
          <w:szCs w:val="24"/>
        </w:rPr>
        <w:t>Provide constructive and detailed feedback on each assignment and exercise so that students can know the areas that need improvement and how to improve.</w:t>
      </w:r>
    </w:p>
    <w:p w14:paraId="4E8CE315" w14:textId="77777777" w:rsidR="00721441" w:rsidRDefault="00721441" w:rsidP="00EA2995">
      <w:pPr>
        <w:spacing w:after="0" w:line="240" w:lineRule="auto"/>
        <w:jc w:val="both"/>
        <w:rPr>
          <w:rFonts w:ascii="Book Antiqua" w:hAnsi="Book Antiqua" w:cs="Arial"/>
          <w:sz w:val="24"/>
          <w:szCs w:val="24"/>
        </w:rPr>
      </w:pPr>
    </w:p>
    <w:p w14:paraId="0DF07460" w14:textId="77777777" w:rsidR="00336FA7" w:rsidRDefault="005E596E" w:rsidP="005E596E">
      <w:pPr>
        <w:pStyle w:val="NoSpacing"/>
        <w:jc w:val="both"/>
        <w:rPr>
          <w:rFonts w:ascii="Book Antiqua" w:hAnsi="Book Antiqua"/>
          <w:sz w:val="24"/>
          <w:szCs w:val="24"/>
        </w:rPr>
      </w:pPr>
      <w:r w:rsidRPr="005E596E">
        <w:rPr>
          <w:rFonts w:ascii="Book Antiqua" w:hAnsi="Book Antiqua"/>
          <w:sz w:val="24"/>
          <w:szCs w:val="24"/>
        </w:rPr>
        <w:t xml:space="preserve">With these steps, it is expected that students in the control class can improve their understanding and get good grades. Then the researcher distributed a questionnaire to students in class XI.1 TAV as an experimental class to assess how effective the learning videos given to students were, and the results obtained were that the average score </w:t>
      </w:r>
      <w:r w:rsidR="00336FA7">
        <w:rPr>
          <w:rFonts w:ascii="Book Antiqua" w:hAnsi="Book Antiqua"/>
          <w:sz w:val="24"/>
          <w:szCs w:val="24"/>
        </w:rPr>
        <w:t>was 4.53 with 90.07% effective.</w:t>
      </w:r>
    </w:p>
    <w:p w14:paraId="5CAD2EE3" w14:textId="77777777" w:rsidR="00336FA7" w:rsidRDefault="005E596E" w:rsidP="005E596E">
      <w:pPr>
        <w:pStyle w:val="NoSpacing"/>
        <w:jc w:val="both"/>
        <w:rPr>
          <w:rFonts w:ascii="Book Antiqua" w:hAnsi="Book Antiqua"/>
          <w:sz w:val="24"/>
          <w:szCs w:val="24"/>
        </w:rPr>
      </w:pPr>
      <w:r w:rsidRPr="005E596E">
        <w:rPr>
          <w:rFonts w:ascii="Book Antiqua" w:hAnsi="Book Antiqua"/>
          <w:sz w:val="24"/>
          <w:szCs w:val="24"/>
        </w:rPr>
        <w:t>To ensure that the experimental class can achieve better results, here ar</w:t>
      </w:r>
      <w:r w:rsidR="00336FA7">
        <w:rPr>
          <w:rFonts w:ascii="Book Antiqua" w:hAnsi="Book Antiqua"/>
          <w:sz w:val="24"/>
          <w:szCs w:val="24"/>
        </w:rPr>
        <w:t>e some steps that can be taken:</w:t>
      </w:r>
    </w:p>
    <w:p w14:paraId="7AEC9427" w14:textId="77777777" w:rsidR="00D27823" w:rsidRDefault="005E596E" w:rsidP="0004656B">
      <w:pPr>
        <w:pStyle w:val="NoSpacing"/>
        <w:numPr>
          <w:ilvl w:val="0"/>
          <w:numId w:val="3"/>
        </w:numPr>
        <w:jc w:val="both"/>
        <w:rPr>
          <w:rFonts w:ascii="Book Antiqua" w:hAnsi="Book Antiqua"/>
          <w:sz w:val="24"/>
          <w:szCs w:val="24"/>
        </w:rPr>
      </w:pPr>
      <w:r w:rsidRPr="005E596E">
        <w:rPr>
          <w:rFonts w:ascii="Book Antiqua" w:hAnsi="Book Antiqua"/>
          <w:sz w:val="24"/>
          <w:szCs w:val="24"/>
        </w:rPr>
        <w:t>Make sure students have full access and a deep understanding of the features in Livewire and PCB Wizard. Holding additional tutorial or workshop sessions on how to use the appl</w:t>
      </w:r>
      <w:r w:rsidR="00D27823">
        <w:rPr>
          <w:rFonts w:ascii="Book Antiqua" w:hAnsi="Book Antiqua"/>
          <w:sz w:val="24"/>
          <w:szCs w:val="24"/>
        </w:rPr>
        <w:t>ication can be very helpful.</w:t>
      </w:r>
    </w:p>
    <w:p w14:paraId="60FC8644" w14:textId="77777777" w:rsidR="00D27823" w:rsidRDefault="005E596E" w:rsidP="0004656B">
      <w:pPr>
        <w:pStyle w:val="NoSpacing"/>
        <w:numPr>
          <w:ilvl w:val="0"/>
          <w:numId w:val="3"/>
        </w:numPr>
        <w:jc w:val="both"/>
        <w:rPr>
          <w:rFonts w:ascii="Book Antiqua" w:hAnsi="Book Antiqua"/>
          <w:sz w:val="24"/>
          <w:szCs w:val="24"/>
        </w:rPr>
      </w:pPr>
      <w:r w:rsidRPr="005E596E">
        <w:rPr>
          <w:rFonts w:ascii="Book Antiqua" w:hAnsi="Book Antiqua"/>
          <w:sz w:val="24"/>
          <w:szCs w:val="24"/>
        </w:rPr>
        <w:t>Divide students into small groups and provide clear and structured projects so that each group member has a specific role. This will encourage more effective collaboration an</w:t>
      </w:r>
      <w:r w:rsidR="00D27823">
        <w:rPr>
          <w:rFonts w:ascii="Book Antiqua" w:hAnsi="Book Antiqua"/>
          <w:sz w:val="24"/>
          <w:szCs w:val="24"/>
        </w:rPr>
        <w:t>d individual responsibility.</w:t>
      </w:r>
    </w:p>
    <w:p w14:paraId="52B7C055" w14:textId="77777777" w:rsidR="00D27823" w:rsidRDefault="005E596E" w:rsidP="0004656B">
      <w:pPr>
        <w:pStyle w:val="NoSpacing"/>
        <w:numPr>
          <w:ilvl w:val="0"/>
          <w:numId w:val="3"/>
        </w:numPr>
        <w:jc w:val="both"/>
        <w:rPr>
          <w:rFonts w:ascii="Book Antiqua" w:hAnsi="Book Antiqua"/>
          <w:sz w:val="24"/>
          <w:szCs w:val="24"/>
        </w:rPr>
      </w:pPr>
      <w:r w:rsidRPr="005E596E">
        <w:rPr>
          <w:rFonts w:ascii="Book Antiqua" w:hAnsi="Book Antiqua"/>
          <w:sz w:val="24"/>
          <w:szCs w:val="24"/>
        </w:rPr>
        <w:lastRenderedPageBreak/>
        <w:t>Implement a PBL approach where students work on real projects that require the use of Livewire and PCB Wizard. This will provide practical contex</w:t>
      </w:r>
      <w:r w:rsidR="00D27823">
        <w:rPr>
          <w:rFonts w:ascii="Book Antiqua" w:hAnsi="Book Antiqua"/>
          <w:sz w:val="24"/>
          <w:szCs w:val="24"/>
        </w:rPr>
        <w:t>t and relevance to students.</w:t>
      </w:r>
    </w:p>
    <w:p w14:paraId="6E5A70B7" w14:textId="77777777" w:rsidR="00D27823" w:rsidRDefault="005E596E" w:rsidP="0004656B">
      <w:pPr>
        <w:pStyle w:val="NoSpacing"/>
        <w:numPr>
          <w:ilvl w:val="0"/>
          <w:numId w:val="3"/>
        </w:numPr>
        <w:jc w:val="both"/>
        <w:rPr>
          <w:rFonts w:ascii="Book Antiqua" w:hAnsi="Book Antiqua"/>
          <w:sz w:val="24"/>
          <w:szCs w:val="24"/>
        </w:rPr>
      </w:pPr>
      <w:r w:rsidRPr="005E596E">
        <w:rPr>
          <w:rFonts w:ascii="Book Antiqua" w:hAnsi="Book Antiqua"/>
          <w:sz w:val="24"/>
          <w:szCs w:val="24"/>
        </w:rPr>
        <w:t>Provide regular feedback throughout the learning process and projects, helping students understand their strengths and areas for improvement. This feedback should be specific,</w:t>
      </w:r>
      <w:r w:rsidR="00D27823">
        <w:rPr>
          <w:rFonts w:ascii="Book Antiqua" w:hAnsi="Book Antiqua"/>
          <w:sz w:val="24"/>
          <w:szCs w:val="24"/>
        </w:rPr>
        <w:t xml:space="preserve"> detailed, and constructive.</w:t>
      </w:r>
    </w:p>
    <w:p w14:paraId="1EA315A4" w14:textId="77777777" w:rsidR="00D27823" w:rsidRDefault="005E596E" w:rsidP="0004656B">
      <w:pPr>
        <w:pStyle w:val="NoSpacing"/>
        <w:numPr>
          <w:ilvl w:val="0"/>
          <w:numId w:val="3"/>
        </w:numPr>
        <w:jc w:val="both"/>
        <w:rPr>
          <w:rFonts w:ascii="Book Antiqua" w:hAnsi="Book Antiqua"/>
          <w:sz w:val="24"/>
          <w:szCs w:val="24"/>
        </w:rPr>
      </w:pPr>
      <w:r w:rsidRPr="005E596E">
        <w:rPr>
          <w:rFonts w:ascii="Book Antiqua" w:hAnsi="Book Antiqua"/>
          <w:sz w:val="24"/>
          <w:szCs w:val="24"/>
        </w:rPr>
        <w:t>Conduct reflection sessions after each assignment or project, where students can discuss what they have learned, the challenges they faced,</w:t>
      </w:r>
      <w:r w:rsidR="00D27823">
        <w:rPr>
          <w:rFonts w:ascii="Book Antiqua" w:hAnsi="Book Antiqua"/>
          <w:sz w:val="24"/>
          <w:szCs w:val="24"/>
        </w:rPr>
        <w:t xml:space="preserve"> and how they overcame them.</w:t>
      </w:r>
    </w:p>
    <w:p w14:paraId="7182037A" w14:textId="77777777" w:rsidR="00D27823" w:rsidRDefault="005E596E" w:rsidP="0004656B">
      <w:pPr>
        <w:pStyle w:val="NoSpacing"/>
        <w:numPr>
          <w:ilvl w:val="0"/>
          <w:numId w:val="3"/>
        </w:numPr>
        <w:jc w:val="both"/>
        <w:rPr>
          <w:rFonts w:ascii="Book Antiqua" w:hAnsi="Book Antiqua"/>
          <w:sz w:val="24"/>
          <w:szCs w:val="24"/>
        </w:rPr>
      </w:pPr>
      <w:r w:rsidRPr="005E596E">
        <w:rPr>
          <w:rFonts w:ascii="Book Antiqua" w:hAnsi="Book Antiqua"/>
          <w:sz w:val="24"/>
          <w:szCs w:val="24"/>
        </w:rPr>
        <w:t>Implement an approach where students are given real-world problems to solve using Livewire and PCB Wizard. This can improve their analytical and problem-</w:t>
      </w:r>
      <w:r w:rsidR="00D27823">
        <w:rPr>
          <w:rFonts w:ascii="Book Antiqua" w:hAnsi="Book Antiqua"/>
          <w:sz w:val="24"/>
          <w:szCs w:val="24"/>
        </w:rPr>
        <w:t>solving skills.</w:t>
      </w:r>
    </w:p>
    <w:p w14:paraId="23CC436D" w14:textId="77777777" w:rsidR="00D27823" w:rsidRDefault="005E596E" w:rsidP="0004656B">
      <w:pPr>
        <w:pStyle w:val="NoSpacing"/>
        <w:numPr>
          <w:ilvl w:val="0"/>
          <w:numId w:val="3"/>
        </w:numPr>
        <w:jc w:val="both"/>
        <w:rPr>
          <w:rFonts w:ascii="Book Antiqua" w:hAnsi="Book Antiqua"/>
          <w:sz w:val="24"/>
          <w:szCs w:val="24"/>
        </w:rPr>
      </w:pPr>
      <w:r w:rsidRPr="005E596E">
        <w:rPr>
          <w:rFonts w:ascii="Book Antiqua" w:hAnsi="Book Antiqua"/>
          <w:sz w:val="24"/>
          <w:szCs w:val="24"/>
        </w:rPr>
        <w:t>Provide additional resources such as video tutorials, user guides, and sample projects that students can access at any time to help</w:t>
      </w:r>
      <w:r w:rsidR="00D27823">
        <w:rPr>
          <w:rFonts w:ascii="Book Antiqua" w:hAnsi="Book Antiqua"/>
          <w:sz w:val="24"/>
          <w:szCs w:val="24"/>
        </w:rPr>
        <w:t xml:space="preserve"> them with their self-study.</w:t>
      </w:r>
    </w:p>
    <w:p w14:paraId="6E4379D9" w14:textId="77777777" w:rsidR="00D27823" w:rsidRDefault="005E596E" w:rsidP="0004656B">
      <w:pPr>
        <w:pStyle w:val="NoSpacing"/>
        <w:numPr>
          <w:ilvl w:val="0"/>
          <w:numId w:val="3"/>
        </w:numPr>
        <w:jc w:val="both"/>
        <w:rPr>
          <w:rFonts w:ascii="Book Antiqua" w:hAnsi="Book Antiqua"/>
          <w:sz w:val="24"/>
          <w:szCs w:val="24"/>
        </w:rPr>
      </w:pPr>
      <w:r w:rsidRPr="005E596E">
        <w:rPr>
          <w:rFonts w:ascii="Book Antiqua" w:hAnsi="Book Antiqua"/>
          <w:sz w:val="24"/>
          <w:szCs w:val="24"/>
        </w:rPr>
        <w:t>Provide opportunities for students to get mentoring and coaching from lecturers or professionals who are experienced in us</w:t>
      </w:r>
      <w:r w:rsidR="00D27823">
        <w:rPr>
          <w:rFonts w:ascii="Book Antiqua" w:hAnsi="Book Antiqua"/>
          <w:sz w:val="24"/>
          <w:szCs w:val="24"/>
        </w:rPr>
        <w:t>ing Livewire and PCB Wizard.</w:t>
      </w:r>
    </w:p>
    <w:p w14:paraId="2DA65E16" w14:textId="77777777" w:rsidR="005E596E" w:rsidRPr="005E596E" w:rsidRDefault="005E596E" w:rsidP="0004656B">
      <w:pPr>
        <w:pStyle w:val="NoSpacing"/>
        <w:numPr>
          <w:ilvl w:val="0"/>
          <w:numId w:val="3"/>
        </w:numPr>
        <w:jc w:val="both"/>
        <w:rPr>
          <w:rFonts w:ascii="Book Antiqua" w:hAnsi="Book Antiqua"/>
          <w:sz w:val="24"/>
          <w:szCs w:val="24"/>
        </w:rPr>
      </w:pPr>
      <w:r w:rsidRPr="005E596E">
        <w:rPr>
          <w:rFonts w:ascii="Book Antiqua" w:hAnsi="Book Antiqua"/>
          <w:sz w:val="24"/>
          <w:szCs w:val="24"/>
        </w:rPr>
        <w:t>Conduct regular evaluations and assessments to monitor student progress and provide encouragement or intervention as needed.</w:t>
      </w:r>
    </w:p>
    <w:p w14:paraId="62744D54" w14:textId="77777777" w:rsidR="005E596E" w:rsidRDefault="005E596E" w:rsidP="00EA2995">
      <w:pPr>
        <w:spacing w:after="0" w:line="240" w:lineRule="auto"/>
        <w:jc w:val="both"/>
        <w:rPr>
          <w:rFonts w:ascii="Book Antiqua" w:hAnsi="Book Antiqua" w:cs="Arial"/>
          <w:sz w:val="24"/>
          <w:szCs w:val="24"/>
        </w:rPr>
      </w:pPr>
    </w:p>
    <w:p w14:paraId="22C77977" w14:textId="77777777" w:rsidR="00BF5937" w:rsidRPr="00BF5937" w:rsidRDefault="00BF5937" w:rsidP="00BF5937">
      <w:pPr>
        <w:pStyle w:val="NoSpacing"/>
        <w:jc w:val="both"/>
        <w:rPr>
          <w:rFonts w:ascii="Book Antiqua" w:hAnsi="Book Antiqua"/>
          <w:sz w:val="24"/>
          <w:szCs w:val="24"/>
        </w:rPr>
      </w:pPr>
      <w:r w:rsidRPr="00BF5937">
        <w:rPr>
          <w:rFonts w:ascii="Book Antiqua" w:hAnsi="Book Antiqua"/>
          <w:sz w:val="24"/>
          <w:szCs w:val="24"/>
        </w:rPr>
        <w:t>The pretest results showed a difference between the control class and the experimental class. Students in the control class who received material about the Livewire and PCB Wizard applications through conventional learning methods tended to have a strong basic understanding but lacked in terms of practical application. In contrast, students in the experimental class who used both applications directly and collaborated in groups showed an increase in understanding both theoretically and practically, as well as better collaborative skills. This difference in results highlights the effectiveness of a more interactive and practical learning approach in improving student competence. With these steps, it is hoped that the experimental class can improve the effectiveness of learning and achieve better results. Thus, the learning video that has been developed into a learning video has proven effective in improving students</w:t>
      </w:r>
      <w:r w:rsidR="00DF1005">
        <w:rPr>
          <w:rFonts w:ascii="Book Antiqua" w:hAnsi="Book Antiqua"/>
          <w:sz w:val="24"/>
          <w:szCs w:val="24"/>
        </w:rPr>
        <w:t>’</w:t>
      </w:r>
      <w:r w:rsidRPr="00BF5937">
        <w:rPr>
          <w:rFonts w:ascii="Book Antiqua" w:hAnsi="Book Antiqua"/>
          <w:sz w:val="24"/>
          <w:szCs w:val="24"/>
        </w:rPr>
        <w:t xml:space="preserve"> understanding of Livewire and PCB Wizard and can be used as a useful guide in teaching and learning activities in the classroom.</w:t>
      </w:r>
    </w:p>
    <w:p w14:paraId="598B9DED" w14:textId="77777777" w:rsidR="00CB2A32" w:rsidRDefault="00CB2A32" w:rsidP="00EA2995">
      <w:pPr>
        <w:spacing w:after="0" w:line="240" w:lineRule="auto"/>
        <w:jc w:val="both"/>
        <w:rPr>
          <w:rFonts w:ascii="Book Antiqua" w:hAnsi="Book Antiqua" w:cs="Arial"/>
          <w:sz w:val="24"/>
          <w:szCs w:val="24"/>
        </w:rPr>
      </w:pPr>
    </w:p>
    <w:p w14:paraId="5C3662D0" w14:textId="77777777" w:rsidR="00633517" w:rsidRPr="00366BCF" w:rsidRDefault="00471531" w:rsidP="00EA2995">
      <w:pPr>
        <w:tabs>
          <w:tab w:val="left" w:pos="0"/>
        </w:tabs>
        <w:autoSpaceDE w:val="0"/>
        <w:autoSpaceDN w:val="0"/>
        <w:adjustRightInd w:val="0"/>
        <w:spacing w:after="0" w:line="240" w:lineRule="auto"/>
        <w:jc w:val="both"/>
        <w:rPr>
          <w:rFonts w:ascii="Book Antiqua" w:hAnsi="Book Antiqua"/>
          <w:b/>
          <w:bCs/>
          <w:color w:val="000000" w:themeColor="text1"/>
          <w:sz w:val="24"/>
          <w:szCs w:val="24"/>
        </w:rPr>
      </w:pPr>
      <w:r w:rsidRPr="00366BCF">
        <w:rPr>
          <w:rFonts w:ascii="Book Antiqua" w:hAnsi="Book Antiqua"/>
          <w:b/>
          <w:bCs/>
          <w:color w:val="000000" w:themeColor="text1"/>
          <w:sz w:val="24"/>
          <w:szCs w:val="24"/>
          <w:lang w:val="id-ID"/>
        </w:rPr>
        <w:t>D. Conclusion</w:t>
      </w:r>
    </w:p>
    <w:p w14:paraId="2D79BDF9" w14:textId="77777777" w:rsidR="00C469A2" w:rsidRDefault="00C469A2" w:rsidP="00EA2995">
      <w:pPr>
        <w:pStyle w:val="ListParagraph"/>
        <w:tabs>
          <w:tab w:val="left" w:pos="540"/>
          <w:tab w:val="left" w:pos="1440"/>
          <w:tab w:val="left" w:pos="7230"/>
          <w:tab w:val="left" w:pos="7560"/>
          <w:tab w:val="left" w:pos="8789"/>
        </w:tabs>
        <w:spacing w:after="0" w:line="240" w:lineRule="auto"/>
        <w:ind w:left="0"/>
        <w:jc w:val="both"/>
        <w:rPr>
          <w:rFonts w:ascii="Book Antiqua" w:hAnsi="Book Antiqua" w:cs="Arial"/>
          <w:sz w:val="24"/>
          <w:szCs w:val="24"/>
        </w:rPr>
      </w:pPr>
    </w:p>
    <w:p w14:paraId="3279CF53" w14:textId="77777777" w:rsidR="001F7A92" w:rsidRDefault="001F7A92" w:rsidP="001F7A92">
      <w:pPr>
        <w:pStyle w:val="NoSpacing"/>
        <w:jc w:val="both"/>
        <w:rPr>
          <w:rFonts w:ascii="Book Antiqua" w:hAnsi="Book Antiqua"/>
          <w:sz w:val="24"/>
          <w:szCs w:val="24"/>
        </w:rPr>
      </w:pPr>
      <w:r w:rsidRPr="001F7A92">
        <w:rPr>
          <w:rFonts w:ascii="Book Antiqua" w:hAnsi="Book Antiqua"/>
          <w:sz w:val="24"/>
          <w:szCs w:val="24"/>
        </w:rPr>
        <w:t>From the description of the Research and Development (R&amp;D) development research above, the following conclusions can be drawn:</w:t>
      </w:r>
    </w:p>
    <w:p w14:paraId="06138324" w14:textId="77777777" w:rsidR="001F7A92" w:rsidRDefault="001F7A92" w:rsidP="0004656B">
      <w:pPr>
        <w:pStyle w:val="NoSpacing"/>
        <w:numPr>
          <w:ilvl w:val="0"/>
          <w:numId w:val="4"/>
        </w:numPr>
        <w:jc w:val="both"/>
        <w:rPr>
          <w:rFonts w:ascii="Book Antiqua" w:hAnsi="Book Antiqua"/>
          <w:sz w:val="24"/>
          <w:szCs w:val="24"/>
        </w:rPr>
      </w:pPr>
      <w:r w:rsidRPr="001F7A92">
        <w:rPr>
          <w:rFonts w:ascii="Book Antiqua" w:hAnsi="Book Antiqua"/>
          <w:sz w:val="24"/>
          <w:szCs w:val="24"/>
        </w:rPr>
        <w:t xml:space="preserve">To find out the validation results from material experts, media experts, information technology experts, and education practitioners, the development of learning media in the form of making learning videos from the </w:t>
      </w:r>
      <w:r w:rsidRPr="001F7A92">
        <w:rPr>
          <w:rFonts w:ascii="Book Antiqua" w:hAnsi="Book Antiqua"/>
          <w:sz w:val="24"/>
          <w:szCs w:val="24"/>
        </w:rPr>
        <w:lastRenderedPageBreak/>
        <w:t>development of existing learning videos was carried out. The validation results from education experts and practitioners averaged a score of 4.24 with a percentage value of 84.93%, so this learning media in the form of learning videos is included in t</w:t>
      </w:r>
      <w:r>
        <w:rPr>
          <w:rFonts w:ascii="Book Antiqua" w:hAnsi="Book Antiqua"/>
          <w:sz w:val="24"/>
          <w:szCs w:val="24"/>
        </w:rPr>
        <w:t xml:space="preserve">he </w:t>
      </w:r>
      <w:r w:rsidR="004B5C37">
        <w:rPr>
          <w:rFonts w:ascii="Book Antiqua" w:hAnsi="Book Antiqua"/>
          <w:sz w:val="24"/>
          <w:szCs w:val="24"/>
        </w:rPr>
        <w:t>“</w:t>
      </w:r>
      <w:r>
        <w:rPr>
          <w:rFonts w:ascii="Book Antiqua" w:hAnsi="Book Antiqua"/>
          <w:sz w:val="24"/>
          <w:szCs w:val="24"/>
        </w:rPr>
        <w:t>Very Eligible</w:t>
      </w:r>
      <w:r w:rsidR="004B5C37">
        <w:rPr>
          <w:rFonts w:ascii="Book Antiqua" w:hAnsi="Book Antiqua"/>
          <w:sz w:val="24"/>
          <w:szCs w:val="24"/>
        </w:rPr>
        <w:t>”</w:t>
      </w:r>
      <w:r>
        <w:rPr>
          <w:rFonts w:ascii="Book Antiqua" w:hAnsi="Book Antiqua"/>
          <w:sz w:val="24"/>
          <w:szCs w:val="24"/>
        </w:rPr>
        <w:t xml:space="preserve"> category.</w:t>
      </w:r>
    </w:p>
    <w:p w14:paraId="359AA357" w14:textId="77777777" w:rsidR="00F32D5D" w:rsidRDefault="001F7A92" w:rsidP="0004656B">
      <w:pPr>
        <w:pStyle w:val="NoSpacing"/>
        <w:numPr>
          <w:ilvl w:val="0"/>
          <w:numId w:val="4"/>
        </w:numPr>
        <w:jc w:val="both"/>
        <w:rPr>
          <w:rFonts w:ascii="Book Antiqua" w:hAnsi="Book Antiqua"/>
          <w:sz w:val="24"/>
          <w:szCs w:val="24"/>
        </w:rPr>
      </w:pPr>
      <w:r w:rsidRPr="001F7A92">
        <w:rPr>
          <w:rFonts w:ascii="Book Antiqua" w:hAnsi="Book Antiqua"/>
          <w:sz w:val="24"/>
          <w:szCs w:val="24"/>
        </w:rPr>
        <w:t>The results of the validation of the effectiveness of learning videos were obtained by distributing questionnaires to 26 students; a score of 1179 was obtained, divided by the maximum score of 1300, a percentage of 90.07% was obtained with a score of 4.53, so that learning videos are said to be eff</w:t>
      </w:r>
      <w:r w:rsidR="00F32D5D">
        <w:rPr>
          <w:rFonts w:ascii="Book Antiqua" w:hAnsi="Book Antiqua"/>
          <w:sz w:val="24"/>
          <w:szCs w:val="24"/>
        </w:rPr>
        <w:t>ective and practical to use.</w:t>
      </w:r>
    </w:p>
    <w:p w14:paraId="08792157" w14:textId="77777777" w:rsidR="001F7A92" w:rsidRPr="001F7A92" w:rsidRDefault="001F7A92" w:rsidP="0004656B">
      <w:pPr>
        <w:pStyle w:val="NoSpacing"/>
        <w:numPr>
          <w:ilvl w:val="0"/>
          <w:numId w:val="4"/>
        </w:numPr>
        <w:jc w:val="both"/>
        <w:rPr>
          <w:rFonts w:ascii="Book Antiqua" w:hAnsi="Book Antiqua"/>
          <w:sz w:val="24"/>
          <w:szCs w:val="24"/>
        </w:rPr>
      </w:pPr>
      <w:r w:rsidRPr="001F7A92">
        <w:rPr>
          <w:rFonts w:ascii="Book Antiqua" w:hAnsi="Book Antiqua"/>
          <w:sz w:val="24"/>
          <w:szCs w:val="24"/>
        </w:rPr>
        <w:t>Learning videos are easy to share via WhatsApp so that students can study at home. And for teachers it is easier to convey material if the study time at school is not enough time.</w:t>
      </w:r>
    </w:p>
    <w:p w14:paraId="2A00CD31" w14:textId="77777777" w:rsidR="001F7A92" w:rsidRPr="001F7A92" w:rsidRDefault="001F7A92" w:rsidP="00EA2995">
      <w:pPr>
        <w:pStyle w:val="ListParagraph"/>
        <w:tabs>
          <w:tab w:val="left" w:pos="540"/>
          <w:tab w:val="left" w:pos="1440"/>
          <w:tab w:val="left" w:pos="7230"/>
          <w:tab w:val="left" w:pos="7560"/>
          <w:tab w:val="left" w:pos="8789"/>
        </w:tabs>
        <w:spacing w:after="0" w:line="240" w:lineRule="auto"/>
        <w:ind w:left="0"/>
        <w:jc w:val="both"/>
        <w:rPr>
          <w:rFonts w:ascii="Book Antiqua" w:hAnsi="Book Antiqua" w:cs="Arial"/>
          <w:sz w:val="24"/>
          <w:szCs w:val="24"/>
        </w:rPr>
      </w:pPr>
    </w:p>
    <w:p w14:paraId="7BCC8852" w14:textId="77777777" w:rsidR="00FC47CE" w:rsidRPr="00857669" w:rsidRDefault="00471531" w:rsidP="00EA2995">
      <w:pPr>
        <w:autoSpaceDE w:val="0"/>
        <w:autoSpaceDN w:val="0"/>
        <w:adjustRightInd w:val="0"/>
        <w:spacing w:after="0" w:line="240" w:lineRule="auto"/>
        <w:jc w:val="both"/>
        <w:rPr>
          <w:rFonts w:ascii="Book Antiqua" w:hAnsi="Book Antiqua"/>
          <w:b/>
          <w:bCs/>
          <w:color w:val="000000" w:themeColor="text1"/>
          <w:sz w:val="24"/>
          <w:szCs w:val="24"/>
        </w:rPr>
      </w:pPr>
      <w:r w:rsidRPr="00857669">
        <w:rPr>
          <w:rFonts w:ascii="Book Antiqua" w:hAnsi="Book Antiqua"/>
          <w:b/>
          <w:bCs/>
          <w:color w:val="000000" w:themeColor="text1"/>
          <w:sz w:val="24"/>
          <w:szCs w:val="24"/>
        </w:rPr>
        <w:t>E</w:t>
      </w:r>
      <w:r w:rsidRPr="00857669">
        <w:rPr>
          <w:rFonts w:ascii="Book Antiqua" w:hAnsi="Book Antiqua"/>
          <w:b/>
          <w:bCs/>
          <w:color w:val="000000" w:themeColor="text1"/>
          <w:sz w:val="24"/>
          <w:szCs w:val="24"/>
          <w:lang w:val="id-ID"/>
        </w:rPr>
        <w:t xml:space="preserve">. </w:t>
      </w:r>
      <w:r w:rsidRPr="00857669">
        <w:rPr>
          <w:rFonts w:ascii="Book Antiqua" w:hAnsi="Book Antiqua"/>
          <w:b/>
          <w:bCs/>
          <w:color w:val="000000" w:themeColor="text1"/>
          <w:sz w:val="24"/>
          <w:szCs w:val="24"/>
        </w:rPr>
        <w:t>Acknowledgement</w:t>
      </w:r>
    </w:p>
    <w:p w14:paraId="7096A27B" w14:textId="77777777" w:rsidR="00856369" w:rsidRDefault="00856369" w:rsidP="00EA2995">
      <w:pPr>
        <w:autoSpaceDE w:val="0"/>
        <w:autoSpaceDN w:val="0"/>
        <w:adjustRightInd w:val="0"/>
        <w:spacing w:after="0" w:line="240" w:lineRule="auto"/>
        <w:jc w:val="both"/>
        <w:rPr>
          <w:rFonts w:ascii="Book Antiqua" w:hAnsi="Book Antiqua"/>
          <w:color w:val="000000" w:themeColor="text1"/>
          <w:sz w:val="24"/>
          <w:szCs w:val="24"/>
        </w:rPr>
      </w:pPr>
    </w:p>
    <w:p w14:paraId="5DE429B7" w14:textId="509CA9E8" w:rsidR="00F32D5D" w:rsidRPr="00F32D5D" w:rsidRDefault="00F32D5D" w:rsidP="00F32D5D">
      <w:pPr>
        <w:pStyle w:val="NoSpacing"/>
        <w:jc w:val="both"/>
        <w:rPr>
          <w:rFonts w:ascii="Book Antiqua" w:hAnsi="Book Antiqua"/>
          <w:sz w:val="24"/>
          <w:szCs w:val="24"/>
        </w:rPr>
      </w:pPr>
      <w:r w:rsidRPr="00F32D5D">
        <w:rPr>
          <w:rFonts w:ascii="Book Antiqua" w:hAnsi="Book Antiqua"/>
          <w:sz w:val="24"/>
          <w:szCs w:val="24"/>
        </w:rPr>
        <w:t xml:space="preserve">We would </w:t>
      </w:r>
      <w:r w:rsidR="00576091">
        <w:rPr>
          <w:rFonts w:ascii="Book Antiqua" w:hAnsi="Book Antiqua"/>
          <w:sz w:val="24"/>
          <w:szCs w:val="24"/>
        </w:rPr>
        <w:t>thank to</w:t>
      </w:r>
      <w:r w:rsidRPr="00F32D5D">
        <w:rPr>
          <w:rFonts w:ascii="Book Antiqua" w:hAnsi="Book Antiqua"/>
          <w:sz w:val="24"/>
          <w:szCs w:val="24"/>
        </w:rPr>
        <w:t xml:space="preserve"> our respondents, colleagues at SMK Negeri 2 </w:t>
      </w:r>
      <w:proofErr w:type="spellStart"/>
      <w:r w:rsidRPr="00F32D5D">
        <w:rPr>
          <w:rFonts w:ascii="Book Antiqua" w:hAnsi="Book Antiqua"/>
          <w:sz w:val="24"/>
          <w:szCs w:val="24"/>
        </w:rPr>
        <w:t>Kayuagung</w:t>
      </w:r>
      <w:proofErr w:type="spellEnd"/>
      <w:r w:rsidRPr="00F32D5D">
        <w:rPr>
          <w:rFonts w:ascii="Book Antiqua" w:hAnsi="Book Antiqua"/>
          <w:sz w:val="24"/>
          <w:szCs w:val="24"/>
        </w:rPr>
        <w:t xml:space="preserve"> and Universitas PGRI Palembang, who helped us </w:t>
      </w:r>
      <w:r w:rsidR="00576091">
        <w:rPr>
          <w:rFonts w:ascii="Book Antiqua" w:hAnsi="Book Antiqua"/>
          <w:sz w:val="24"/>
          <w:szCs w:val="24"/>
        </w:rPr>
        <w:t>in</w:t>
      </w:r>
      <w:r w:rsidRPr="00F32D5D">
        <w:rPr>
          <w:rFonts w:ascii="Book Antiqua" w:hAnsi="Book Antiqua"/>
          <w:sz w:val="24"/>
          <w:szCs w:val="24"/>
        </w:rPr>
        <w:t xml:space="preserve"> this </w:t>
      </w:r>
      <w:r w:rsidR="00576091">
        <w:rPr>
          <w:rFonts w:ascii="Book Antiqua" w:hAnsi="Book Antiqua"/>
          <w:sz w:val="24"/>
          <w:szCs w:val="24"/>
        </w:rPr>
        <w:t>manuscript</w:t>
      </w:r>
      <w:r w:rsidRPr="00F32D5D">
        <w:rPr>
          <w:rFonts w:ascii="Book Antiqua" w:hAnsi="Book Antiqua"/>
          <w:sz w:val="24"/>
          <w:szCs w:val="24"/>
        </w:rPr>
        <w:t>.</w:t>
      </w:r>
    </w:p>
    <w:p w14:paraId="15213404" w14:textId="77777777" w:rsidR="00F32D5D" w:rsidRPr="00857669" w:rsidRDefault="00F32D5D" w:rsidP="00EA2995">
      <w:pPr>
        <w:autoSpaceDE w:val="0"/>
        <w:autoSpaceDN w:val="0"/>
        <w:adjustRightInd w:val="0"/>
        <w:spacing w:after="0" w:line="240" w:lineRule="auto"/>
        <w:jc w:val="both"/>
        <w:rPr>
          <w:rFonts w:ascii="Book Antiqua" w:hAnsi="Book Antiqua"/>
          <w:color w:val="000000" w:themeColor="text1"/>
          <w:sz w:val="24"/>
          <w:szCs w:val="24"/>
        </w:rPr>
      </w:pPr>
    </w:p>
    <w:p w14:paraId="35D52B76" w14:textId="77777777" w:rsidR="00DA0700" w:rsidRPr="00857669" w:rsidRDefault="00471531" w:rsidP="00EA2995">
      <w:pPr>
        <w:autoSpaceDE w:val="0"/>
        <w:autoSpaceDN w:val="0"/>
        <w:adjustRightInd w:val="0"/>
        <w:spacing w:after="0" w:line="240" w:lineRule="auto"/>
        <w:jc w:val="both"/>
        <w:rPr>
          <w:rFonts w:ascii="Book Antiqua" w:hAnsi="Book Antiqua"/>
          <w:b/>
          <w:bCs/>
          <w:color w:val="000000" w:themeColor="text1"/>
          <w:sz w:val="24"/>
          <w:szCs w:val="24"/>
        </w:rPr>
      </w:pPr>
      <w:r w:rsidRPr="00857669">
        <w:rPr>
          <w:rFonts w:ascii="Book Antiqua" w:hAnsi="Book Antiqua"/>
          <w:b/>
          <w:bCs/>
          <w:color w:val="000000" w:themeColor="text1"/>
          <w:sz w:val="24"/>
          <w:szCs w:val="24"/>
        </w:rPr>
        <w:t>Reference</w:t>
      </w:r>
    </w:p>
    <w:p w14:paraId="4DF11593" w14:textId="77777777" w:rsidR="00F32D5D" w:rsidRDefault="00F32D5D" w:rsidP="00EA2995">
      <w:pPr>
        <w:widowControl w:val="0"/>
        <w:autoSpaceDE w:val="0"/>
        <w:autoSpaceDN w:val="0"/>
        <w:adjustRightInd w:val="0"/>
        <w:spacing w:after="0" w:line="240" w:lineRule="auto"/>
        <w:ind w:left="480" w:hanging="480"/>
        <w:rPr>
          <w:rFonts w:ascii="Book Antiqua" w:hAnsi="Book Antiqua"/>
          <w:noProof/>
          <w:sz w:val="24"/>
          <w:szCs w:val="24"/>
        </w:rPr>
      </w:pPr>
    </w:p>
    <w:p w14:paraId="34D57BB9" w14:textId="77777777" w:rsidR="00E062F4" w:rsidRPr="00E062F4" w:rsidRDefault="007364B9" w:rsidP="00E153D7">
      <w:pPr>
        <w:widowControl w:val="0"/>
        <w:autoSpaceDE w:val="0"/>
        <w:autoSpaceDN w:val="0"/>
        <w:adjustRightInd w:val="0"/>
        <w:spacing w:after="0" w:line="240" w:lineRule="auto"/>
        <w:ind w:left="480" w:hanging="480"/>
        <w:jc w:val="both"/>
        <w:rPr>
          <w:rFonts w:ascii="Book Antiqua" w:hAnsi="Book Antiqua"/>
          <w:noProof/>
          <w:sz w:val="24"/>
          <w:szCs w:val="24"/>
        </w:rPr>
      </w:pPr>
      <w:r>
        <w:rPr>
          <w:rFonts w:ascii="Book Antiqua" w:hAnsi="Book Antiqua"/>
          <w:noProof/>
          <w:sz w:val="24"/>
          <w:szCs w:val="24"/>
        </w:rPr>
        <w:fldChar w:fldCharType="begin" w:fldLock="1"/>
      </w:r>
      <w:r>
        <w:rPr>
          <w:rFonts w:ascii="Book Antiqua" w:hAnsi="Book Antiqua"/>
          <w:noProof/>
          <w:sz w:val="24"/>
          <w:szCs w:val="24"/>
        </w:rPr>
        <w:instrText xml:space="preserve">ADDIN Mendeley Bibliography CSL_BIBLIOGRAPHY </w:instrText>
      </w:r>
      <w:r>
        <w:rPr>
          <w:rFonts w:ascii="Book Antiqua" w:hAnsi="Book Antiqua"/>
          <w:noProof/>
          <w:sz w:val="24"/>
          <w:szCs w:val="24"/>
        </w:rPr>
        <w:fldChar w:fldCharType="separate"/>
      </w:r>
      <w:r w:rsidR="00E062F4" w:rsidRPr="00E062F4">
        <w:rPr>
          <w:rFonts w:ascii="Book Antiqua" w:hAnsi="Book Antiqua"/>
          <w:noProof/>
          <w:sz w:val="24"/>
          <w:szCs w:val="24"/>
        </w:rPr>
        <w:t xml:space="preserve">Amelia, C., Aprilianto, A., Supriatna, D., Rusydi, I., &amp; Zahari, N. E. (2022). The Principal’s Role as Education Supervisor in Improving Teacher Professionalism. </w:t>
      </w:r>
      <w:r w:rsidR="00E062F4" w:rsidRPr="00E062F4">
        <w:rPr>
          <w:rFonts w:ascii="Book Antiqua" w:hAnsi="Book Antiqua"/>
          <w:i/>
          <w:iCs/>
          <w:noProof/>
          <w:sz w:val="24"/>
          <w:szCs w:val="24"/>
        </w:rPr>
        <w:t>Nidhomul Haq</w:t>
      </w:r>
      <w:r w:rsidR="00E062F4" w:rsidRPr="00E062F4">
        <w:rPr>
          <w:rFonts w:ascii="Times New Roman" w:hAnsi="Times New Roman"/>
          <w:i/>
          <w:iCs/>
          <w:noProof/>
          <w:sz w:val="24"/>
          <w:szCs w:val="24"/>
        </w:rPr>
        <w:t> </w:t>
      </w:r>
      <w:r w:rsidR="00E062F4" w:rsidRPr="00E062F4">
        <w:rPr>
          <w:rFonts w:ascii="Book Antiqua" w:hAnsi="Book Antiqua"/>
          <w:i/>
          <w:iCs/>
          <w:noProof/>
          <w:sz w:val="24"/>
          <w:szCs w:val="24"/>
        </w:rPr>
        <w:t>: Jurnal Manajemen Pendidikan Islam</w:t>
      </w:r>
      <w:r w:rsidR="00E062F4" w:rsidRPr="00E062F4">
        <w:rPr>
          <w:rFonts w:ascii="Book Antiqua" w:hAnsi="Book Antiqua"/>
          <w:noProof/>
          <w:sz w:val="24"/>
          <w:szCs w:val="24"/>
        </w:rPr>
        <w:t xml:space="preserve">, </w:t>
      </w:r>
      <w:r w:rsidR="00E062F4" w:rsidRPr="00E062F4">
        <w:rPr>
          <w:rFonts w:ascii="Book Antiqua" w:hAnsi="Book Antiqua"/>
          <w:i/>
          <w:iCs/>
          <w:noProof/>
          <w:sz w:val="24"/>
          <w:szCs w:val="24"/>
        </w:rPr>
        <w:t>7</w:t>
      </w:r>
      <w:r w:rsidR="00E062F4" w:rsidRPr="00E062F4">
        <w:rPr>
          <w:rFonts w:ascii="Book Antiqua" w:hAnsi="Book Antiqua"/>
          <w:noProof/>
          <w:sz w:val="24"/>
          <w:szCs w:val="24"/>
        </w:rPr>
        <w:t>(1), 144–155. https://doi.org/10.31538/ndh.v7i1.2075</w:t>
      </w:r>
    </w:p>
    <w:p w14:paraId="7CF84171"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Astarina, S., Barliana, M. S., &amp; Permana, D. C. (2020). Implementation of </w:t>
      </w:r>
      <w:r w:rsidR="00E153D7">
        <w:rPr>
          <w:rFonts w:ascii="Book Antiqua" w:hAnsi="Book Antiqua"/>
          <w:noProof/>
          <w:sz w:val="24"/>
          <w:szCs w:val="24"/>
        </w:rPr>
        <w:t>Project-Based Learning Method to Increase Transferable Skills o</w:t>
      </w:r>
      <w:r w:rsidR="00E153D7" w:rsidRPr="00E062F4">
        <w:rPr>
          <w:rFonts w:ascii="Book Antiqua" w:hAnsi="Book Antiqua"/>
          <w:noProof/>
          <w:sz w:val="24"/>
          <w:szCs w:val="24"/>
        </w:rPr>
        <w:t>f Vocational High School Studen</w:t>
      </w:r>
      <w:r w:rsidRPr="00E062F4">
        <w:rPr>
          <w:rFonts w:ascii="Book Antiqua" w:hAnsi="Book Antiqua"/>
          <w:noProof/>
          <w:sz w:val="24"/>
          <w:szCs w:val="24"/>
        </w:rPr>
        <w:t xml:space="preserve">ts. </w:t>
      </w:r>
      <w:r w:rsidRPr="00E062F4">
        <w:rPr>
          <w:rFonts w:ascii="Book Antiqua" w:hAnsi="Book Antiqua"/>
          <w:i/>
          <w:iCs/>
          <w:noProof/>
          <w:sz w:val="24"/>
          <w:szCs w:val="24"/>
        </w:rPr>
        <w:t>IOP Conference Series: Materials Science and Engineering</w:t>
      </w:r>
      <w:r w:rsidRPr="00E062F4">
        <w:rPr>
          <w:rFonts w:ascii="Book Antiqua" w:hAnsi="Book Antiqua"/>
          <w:noProof/>
          <w:sz w:val="24"/>
          <w:szCs w:val="24"/>
        </w:rPr>
        <w:t xml:space="preserve">, </w:t>
      </w:r>
      <w:r w:rsidRPr="00E062F4">
        <w:rPr>
          <w:rFonts w:ascii="Book Antiqua" w:hAnsi="Book Antiqua"/>
          <w:i/>
          <w:iCs/>
          <w:noProof/>
          <w:sz w:val="24"/>
          <w:szCs w:val="24"/>
        </w:rPr>
        <w:t>830</w:t>
      </w:r>
      <w:r w:rsidRPr="00E062F4">
        <w:rPr>
          <w:rFonts w:ascii="Book Antiqua" w:hAnsi="Book Antiqua"/>
          <w:noProof/>
          <w:sz w:val="24"/>
          <w:szCs w:val="24"/>
        </w:rPr>
        <w:t>(2), 022065. https://doi.org/10.1088/1757-899X/830/2/022065</w:t>
      </w:r>
    </w:p>
    <w:p w14:paraId="5AF39911" w14:textId="77777777" w:rsidR="00E062F4" w:rsidRPr="00E062F4" w:rsidRDefault="00E062F4" w:rsidP="00B330B5">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Astomo, P. (2021). </w:t>
      </w:r>
      <w:r w:rsidR="00B330B5">
        <w:rPr>
          <w:rFonts w:ascii="Book Antiqua" w:hAnsi="Book Antiqua"/>
          <w:noProof/>
          <w:sz w:val="24"/>
          <w:szCs w:val="24"/>
        </w:rPr>
        <w:t>Legal Politics of Implementing a</w:t>
      </w:r>
      <w:r w:rsidR="00B330B5" w:rsidRPr="00B330B5">
        <w:rPr>
          <w:rFonts w:ascii="Book Antiqua" w:hAnsi="Book Antiqua"/>
          <w:noProof/>
          <w:sz w:val="24"/>
          <w:szCs w:val="24"/>
        </w:rPr>
        <w:t xml:space="preserve"> Respon</w:t>
      </w:r>
      <w:r w:rsidR="00B330B5">
        <w:rPr>
          <w:rFonts w:ascii="Book Antiqua" w:hAnsi="Book Antiqua"/>
          <w:noProof/>
          <w:sz w:val="24"/>
          <w:szCs w:val="24"/>
        </w:rPr>
        <w:t>sive National Education System in the Era o</w:t>
      </w:r>
      <w:r w:rsidR="00B330B5" w:rsidRPr="00B330B5">
        <w:rPr>
          <w:rFonts w:ascii="Book Antiqua" w:hAnsi="Book Antiqua"/>
          <w:noProof/>
          <w:sz w:val="24"/>
          <w:szCs w:val="24"/>
        </w:rPr>
        <w:t>f Globalization</w:t>
      </w:r>
      <w:r w:rsidRPr="00E062F4">
        <w:rPr>
          <w:rFonts w:ascii="Book Antiqua" w:hAnsi="Book Antiqua"/>
          <w:noProof/>
          <w:sz w:val="24"/>
          <w:szCs w:val="24"/>
        </w:rPr>
        <w:t xml:space="preserve">. </w:t>
      </w:r>
      <w:r w:rsidRPr="00E062F4">
        <w:rPr>
          <w:rFonts w:ascii="Book Antiqua" w:hAnsi="Book Antiqua"/>
          <w:i/>
          <w:iCs/>
          <w:noProof/>
          <w:sz w:val="24"/>
          <w:szCs w:val="24"/>
        </w:rPr>
        <w:t>Masalah-Masalah Hukum</w:t>
      </w:r>
      <w:r w:rsidRPr="00E062F4">
        <w:rPr>
          <w:rFonts w:ascii="Book Antiqua" w:hAnsi="Book Antiqua"/>
          <w:noProof/>
          <w:sz w:val="24"/>
          <w:szCs w:val="24"/>
        </w:rPr>
        <w:t xml:space="preserve">, </w:t>
      </w:r>
      <w:r w:rsidRPr="00E062F4">
        <w:rPr>
          <w:rFonts w:ascii="Book Antiqua" w:hAnsi="Book Antiqua"/>
          <w:i/>
          <w:iCs/>
          <w:noProof/>
          <w:sz w:val="24"/>
          <w:szCs w:val="24"/>
        </w:rPr>
        <w:t>50</w:t>
      </w:r>
      <w:r w:rsidRPr="00E062F4">
        <w:rPr>
          <w:rFonts w:ascii="Book Antiqua" w:hAnsi="Book Antiqua"/>
          <w:noProof/>
          <w:sz w:val="24"/>
          <w:szCs w:val="24"/>
        </w:rPr>
        <w:t>(2), 172–183. https://doi.org/10.14710/mmh.50.2.2021.172-183</w:t>
      </w:r>
    </w:p>
    <w:p w14:paraId="4E43F552"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Dewey, J. (1938). </w:t>
      </w:r>
      <w:r w:rsidR="00F65458">
        <w:rPr>
          <w:rFonts w:ascii="Book Antiqua" w:hAnsi="Book Antiqua"/>
          <w:i/>
          <w:iCs/>
          <w:noProof/>
          <w:sz w:val="24"/>
          <w:szCs w:val="24"/>
        </w:rPr>
        <w:t>Experience and E</w:t>
      </w:r>
      <w:r w:rsidRPr="00E062F4">
        <w:rPr>
          <w:rFonts w:ascii="Book Antiqua" w:hAnsi="Book Antiqua"/>
          <w:i/>
          <w:iCs/>
          <w:noProof/>
          <w:sz w:val="24"/>
          <w:szCs w:val="24"/>
        </w:rPr>
        <w:t>ducation</w:t>
      </w:r>
      <w:r w:rsidRPr="00E062F4">
        <w:rPr>
          <w:rFonts w:ascii="Book Antiqua" w:hAnsi="Book Antiqua"/>
          <w:noProof/>
          <w:sz w:val="24"/>
          <w:szCs w:val="24"/>
        </w:rPr>
        <w:t>. Collier Books.</w:t>
      </w:r>
    </w:p>
    <w:p w14:paraId="202723F5"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Eze, S. C., Chinedu-Eze, V. C., &amp; Bello, A. O. (2018). The </w:t>
      </w:r>
      <w:r w:rsidR="00F65458">
        <w:rPr>
          <w:rFonts w:ascii="Book Antiqua" w:hAnsi="Book Antiqua"/>
          <w:noProof/>
          <w:sz w:val="24"/>
          <w:szCs w:val="24"/>
        </w:rPr>
        <w:t>Utilisation of E-Learning Facilities in the Educational Delivery System o</w:t>
      </w:r>
      <w:r w:rsidR="00F65458" w:rsidRPr="00E062F4">
        <w:rPr>
          <w:rFonts w:ascii="Book Antiqua" w:hAnsi="Book Antiqua"/>
          <w:noProof/>
          <w:sz w:val="24"/>
          <w:szCs w:val="24"/>
        </w:rPr>
        <w:t xml:space="preserve">f </w:t>
      </w:r>
      <w:r w:rsidRPr="00E062F4">
        <w:rPr>
          <w:rFonts w:ascii="Book Antiqua" w:hAnsi="Book Antiqua"/>
          <w:noProof/>
          <w:sz w:val="24"/>
          <w:szCs w:val="24"/>
        </w:rPr>
        <w:t>Nigeria</w:t>
      </w:r>
      <w:r w:rsidR="00F65458" w:rsidRPr="00E062F4">
        <w:rPr>
          <w:rFonts w:ascii="Book Antiqua" w:hAnsi="Book Antiqua"/>
          <w:noProof/>
          <w:sz w:val="24"/>
          <w:szCs w:val="24"/>
        </w:rPr>
        <w:t>: A St</w:t>
      </w:r>
      <w:r w:rsidRPr="00E062F4">
        <w:rPr>
          <w:rFonts w:ascii="Book Antiqua" w:hAnsi="Book Antiqua"/>
          <w:noProof/>
          <w:sz w:val="24"/>
          <w:szCs w:val="24"/>
        </w:rPr>
        <w:t xml:space="preserve">udy of M-University. </w:t>
      </w:r>
      <w:r w:rsidRPr="00E062F4">
        <w:rPr>
          <w:rFonts w:ascii="Book Antiqua" w:hAnsi="Book Antiqua"/>
          <w:i/>
          <w:iCs/>
          <w:noProof/>
          <w:sz w:val="24"/>
          <w:szCs w:val="24"/>
        </w:rPr>
        <w:t>International Journal of Educational Technology in Higher Education</w:t>
      </w:r>
      <w:r w:rsidRPr="00E062F4">
        <w:rPr>
          <w:rFonts w:ascii="Book Antiqua" w:hAnsi="Book Antiqua"/>
          <w:noProof/>
          <w:sz w:val="24"/>
          <w:szCs w:val="24"/>
        </w:rPr>
        <w:t xml:space="preserve">, </w:t>
      </w:r>
      <w:r w:rsidRPr="00E062F4">
        <w:rPr>
          <w:rFonts w:ascii="Book Antiqua" w:hAnsi="Book Antiqua"/>
          <w:i/>
          <w:iCs/>
          <w:noProof/>
          <w:sz w:val="24"/>
          <w:szCs w:val="24"/>
        </w:rPr>
        <w:t>15</w:t>
      </w:r>
      <w:r w:rsidRPr="00E062F4">
        <w:rPr>
          <w:rFonts w:ascii="Book Antiqua" w:hAnsi="Book Antiqua"/>
          <w:noProof/>
          <w:sz w:val="24"/>
          <w:szCs w:val="24"/>
        </w:rPr>
        <w:t>(1), 34. https://doi.org/10.1186/s41239-018-0116-z</w:t>
      </w:r>
    </w:p>
    <w:p w14:paraId="189B2754"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Green, S., Grant, A. M., &amp; Rynsaardt, J. (2020). Evidence</w:t>
      </w:r>
      <w:r w:rsidRPr="00E062F4">
        <w:rPr>
          <w:rFonts w:ascii="Times New Roman" w:hAnsi="Times New Roman"/>
          <w:noProof/>
          <w:sz w:val="24"/>
          <w:szCs w:val="24"/>
        </w:rPr>
        <w:t>‐</w:t>
      </w:r>
      <w:r w:rsidRPr="00E062F4">
        <w:rPr>
          <w:rFonts w:ascii="Book Antiqua" w:hAnsi="Book Antiqua"/>
          <w:noProof/>
          <w:sz w:val="24"/>
          <w:szCs w:val="24"/>
        </w:rPr>
        <w:t xml:space="preserve">Based Life Coaching for Senior High School Students. In </w:t>
      </w:r>
      <w:r w:rsidRPr="00E062F4">
        <w:rPr>
          <w:rFonts w:ascii="Book Antiqua" w:hAnsi="Book Antiqua"/>
          <w:i/>
          <w:iCs/>
          <w:noProof/>
          <w:sz w:val="24"/>
          <w:szCs w:val="24"/>
        </w:rPr>
        <w:t>Coaching Researched</w:t>
      </w:r>
      <w:r w:rsidRPr="00E062F4">
        <w:rPr>
          <w:rFonts w:ascii="Book Antiqua" w:hAnsi="Book Antiqua"/>
          <w:noProof/>
          <w:sz w:val="24"/>
          <w:szCs w:val="24"/>
        </w:rPr>
        <w:t xml:space="preserve"> (pp. 257–268). Wiley. https://doi.org/10.1002/9781119656913.ch13</w:t>
      </w:r>
    </w:p>
    <w:p w14:paraId="13407345"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Hamdani, H., Ulumudin, A., &amp; Ijudin, I. (2024). </w:t>
      </w:r>
      <w:r w:rsidR="00F65458" w:rsidRPr="00F65458">
        <w:rPr>
          <w:rFonts w:ascii="Book Antiqua" w:hAnsi="Book Antiqua"/>
          <w:noProof/>
          <w:sz w:val="24"/>
          <w:szCs w:val="24"/>
        </w:rPr>
        <w:t>The Influence of Madrasah Principal Leadership on the Effectiveness of Human Resource Management to Realize the Quality of Educational Services (Research at MA. YPI. Baiturrahman Leles - Garut)</w:t>
      </w:r>
      <w:r w:rsidRPr="00E062F4">
        <w:rPr>
          <w:rFonts w:ascii="Book Antiqua" w:hAnsi="Book Antiqua"/>
          <w:noProof/>
          <w:sz w:val="24"/>
          <w:szCs w:val="24"/>
        </w:rPr>
        <w:t xml:space="preserve">. </w:t>
      </w:r>
      <w:r w:rsidRPr="00E062F4">
        <w:rPr>
          <w:rFonts w:ascii="Book Antiqua" w:hAnsi="Book Antiqua"/>
          <w:i/>
          <w:iCs/>
          <w:noProof/>
          <w:sz w:val="24"/>
          <w:szCs w:val="24"/>
        </w:rPr>
        <w:t>Jurnal Manajemen Pendidikan Islam</w:t>
      </w:r>
      <w:r w:rsidRPr="00E062F4">
        <w:rPr>
          <w:rFonts w:ascii="Book Antiqua" w:hAnsi="Book Antiqua"/>
          <w:noProof/>
          <w:sz w:val="24"/>
          <w:szCs w:val="24"/>
        </w:rPr>
        <w:t xml:space="preserve">, </w:t>
      </w:r>
      <w:r w:rsidRPr="00E062F4">
        <w:rPr>
          <w:rFonts w:ascii="Book Antiqua" w:hAnsi="Book Antiqua"/>
          <w:i/>
          <w:iCs/>
          <w:noProof/>
          <w:sz w:val="24"/>
          <w:szCs w:val="24"/>
        </w:rPr>
        <w:t>8</w:t>
      </w:r>
      <w:r w:rsidRPr="00E062F4">
        <w:rPr>
          <w:rFonts w:ascii="Book Antiqua" w:hAnsi="Book Antiqua"/>
          <w:noProof/>
          <w:sz w:val="24"/>
          <w:szCs w:val="24"/>
        </w:rPr>
        <w:t xml:space="preserve">(02). </w:t>
      </w:r>
      <w:r w:rsidRPr="00E062F4">
        <w:rPr>
          <w:rFonts w:ascii="Book Antiqua" w:hAnsi="Book Antiqua"/>
          <w:noProof/>
          <w:sz w:val="24"/>
          <w:szCs w:val="24"/>
        </w:rPr>
        <w:lastRenderedPageBreak/>
        <w:t>https://doi.org/10.52434/jurnalkhazanahakademia.v8i02.155</w:t>
      </w:r>
    </w:p>
    <w:p w14:paraId="2A92E8EC"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Herbeth, G. Y., &amp; Barunwati, T. (2024). </w:t>
      </w:r>
      <w:r w:rsidR="00307CE7">
        <w:rPr>
          <w:rFonts w:ascii="Book Antiqua" w:hAnsi="Book Antiqua"/>
          <w:noProof/>
          <w:sz w:val="24"/>
          <w:szCs w:val="24"/>
        </w:rPr>
        <w:t>The Effect o</w:t>
      </w:r>
      <w:r w:rsidR="00307CE7" w:rsidRPr="00307CE7">
        <w:rPr>
          <w:rFonts w:ascii="Book Antiqua" w:hAnsi="Book Antiqua"/>
          <w:noProof/>
          <w:sz w:val="24"/>
          <w:szCs w:val="24"/>
        </w:rPr>
        <w:t>f Human Resource Managem</w:t>
      </w:r>
      <w:r w:rsidR="00307CE7">
        <w:rPr>
          <w:rFonts w:ascii="Book Antiqua" w:hAnsi="Book Antiqua"/>
          <w:noProof/>
          <w:sz w:val="24"/>
          <w:szCs w:val="24"/>
        </w:rPr>
        <w:t>ent, Total Quality Management, and Work Motivation on Employee Performance a</w:t>
      </w:r>
      <w:r w:rsidR="00307CE7" w:rsidRPr="00307CE7">
        <w:rPr>
          <w:rFonts w:ascii="Book Antiqua" w:hAnsi="Book Antiqua"/>
          <w:noProof/>
          <w:sz w:val="24"/>
          <w:szCs w:val="24"/>
        </w:rPr>
        <w:t>t Global Mandiri School, Cibubur</w:t>
      </w:r>
      <w:r w:rsidRPr="00E062F4">
        <w:rPr>
          <w:rFonts w:ascii="Book Antiqua" w:hAnsi="Book Antiqua"/>
          <w:noProof/>
          <w:sz w:val="24"/>
          <w:szCs w:val="24"/>
        </w:rPr>
        <w:t xml:space="preserve">. </w:t>
      </w:r>
      <w:r w:rsidRPr="00E062F4">
        <w:rPr>
          <w:rFonts w:ascii="Book Antiqua" w:hAnsi="Book Antiqua"/>
          <w:i/>
          <w:iCs/>
          <w:noProof/>
          <w:sz w:val="24"/>
          <w:szCs w:val="24"/>
        </w:rPr>
        <w:t>Jurnal Pemasaran Bisnis</w:t>
      </w:r>
      <w:r w:rsidRPr="00E062F4">
        <w:rPr>
          <w:rFonts w:ascii="Book Antiqua" w:hAnsi="Book Antiqua"/>
          <w:noProof/>
          <w:sz w:val="24"/>
          <w:szCs w:val="24"/>
        </w:rPr>
        <w:t xml:space="preserve">, </w:t>
      </w:r>
      <w:r w:rsidRPr="00E062F4">
        <w:rPr>
          <w:rFonts w:ascii="Book Antiqua" w:hAnsi="Book Antiqua"/>
          <w:i/>
          <w:iCs/>
          <w:noProof/>
          <w:sz w:val="24"/>
          <w:szCs w:val="24"/>
        </w:rPr>
        <w:t>6</w:t>
      </w:r>
      <w:r w:rsidR="00307CE7">
        <w:rPr>
          <w:rFonts w:ascii="Book Antiqua" w:hAnsi="Book Antiqua"/>
          <w:noProof/>
          <w:sz w:val="24"/>
          <w:szCs w:val="24"/>
        </w:rPr>
        <w:t xml:space="preserve">(3). </w:t>
      </w:r>
      <w:r w:rsidRPr="00E062F4">
        <w:rPr>
          <w:rFonts w:ascii="Book Antiqua" w:hAnsi="Book Antiqua"/>
          <w:noProof/>
          <w:sz w:val="24"/>
          <w:szCs w:val="24"/>
        </w:rPr>
        <w:t>https://journalpedia.com/1/index.php/jpb/article/view/2850</w:t>
      </w:r>
    </w:p>
    <w:p w14:paraId="60FE6AD1"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Kahu, E. R., &amp; Nelson, K. (2018). Student </w:t>
      </w:r>
      <w:r w:rsidR="00C649C6">
        <w:rPr>
          <w:rFonts w:ascii="Book Antiqua" w:hAnsi="Book Antiqua"/>
          <w:noProof/>
          <w:sz w:val="24"/>
          <w:szCs w:val="24"/>
        </w:rPr>
        <w:t>Engagement in t</w:t>
      </w:r>
      <w:r w:rsidR="00C649C6" w:rsidRPr="00E062F4">
        <w:rPr>
          <w:rFonts w:ascii="Book Antiqua" w:hAnsi="Book Antiqua"/>
          <w:noProof/>
          <w:sz w:val="24"/>
          <w:szCs w:val="24"/>
        </w:rPr>
        <w:t>he Educat</w:t>
      </w:r>
      <w:r w:rsidR="00C649C6">
        <w:rPr>
          <w:rFonts w:ascii="Book Antiqua" w:hAnsi="Book Antiqua"/>
          <w:noProof/>
          <w:sz w:val="24"/>
          <w:szCs w:val="24"/>
        </w:rPr>
        <w:t>ional Interface: Understanding the Mechanisms of</w:t>
      </w:r>
      <w:r w:rsidR="00C649C6" w:rsidRPr="00E062F4">
        <w:rPr>
          <w:rFonts w:ascii="Book Antiqua" w:hAnsi="Book Antiqua"/>
          <w:noProof/>
          <w:sz w:val="24"/>
          <w:szCs w:val="24"/>
        </w:rPr>
        <w:t xml:space="preserve"> Student Su</w:t>
      </w:r>
      <w:r w:rsidRPr="00E062F4">
        <w:rPr>
          <w:rFonts w:ascii="Book Antiqua" w:hAnsi="Book Antiqua"/>
          <w:noProof/>
          <w:sz w:val="24"/>
          <w:szCs w:val="24"/>
        </w:rPr>
        <w:t xml:space="preserve">ccess. </w:t>
      </w:r>
      <w:r w:rsidRPr="00E062F4">
        <w:rPr>
          <w:rFonts w:ascii="Book Antiqua" w:hAnsi="Book Antiqua"/>
          <w:i/>
          <w:iCs/>
          <w:noProof/>
          <w:sz w:val="24"/>
          <w:szCs w:val="24"/>
        </w:rPr>
        <w:t>Higher Education Research &amp; Development</w:t>
      </w:r>
      <w:r w:rsidRPr="00E062F4">
        <w:rPr>
          <w:rFonts w:ascii="Book Antiqua" w:hAnsi="Book Antiqua"/>
          <w:noProof/>
          <w:sz w:val="24"/>
          <w:szCs w:val="24"/>
        </w:rPr>
        <w:t xml:space="preserve">, </w:t>
      </w:r>
      <w:r w:rsidRPr="00E062F4">
        <w:rPr>
          <w:rFonts w:ascii="Book Antiqua" w:hAnsi="Book Antiqua"/>
          <w:i/>
          <w:iCs/>
          <w:noProof/>
          <w:sz w:val="24"/>
          <w:szCs w:val="24"/>
        </w:rPr>
        <w:t>37</w:t>
      </w:r>
      <w:r w:rsidRPr="00E062F4">
        <w:rPr>
          <w:rFonts w:ascii="Book Antiqua" w:hAnsi="Book Antiqua"/>
          <w:noProof/>
          <w:sz w:val="24"/>
          <w:szCs w:val="24"/>
        </w:rPr>
        <w:t>(1), 58–71. https://doi.org/10.1080/07294360.2017.1344197</w:t>
      </w:r>
    </w:p>
    <w:p w14:paraId="1B54BFE6"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Lisnawati, A., Auliadi, Adhari, F. N., Hanipah, R., &amp; Rostika, D. (2023). </w:t>
      </w:r>
      <w:r w:rsidR="00C649C6" w:rsidRPr="00C649C6">
        <w:rPr>
          <w:rFonts w:ascii="Book Antiqua" w:hAnsi="Book Antiqua"/>
          <w:noProof/>
          <w:sz w:val="24"/>
          <w:szCs w:val="24"/>
        </w:rPr>
        <w:t>Problems of Facilities and Infrastructure in Learning in Elementary Schools</w:t>
      </w:r>
      <w:r w:rsidRPr="00E062F4">
        <w:rPr>
          <w:rFonts w:ascii="Book Antiqua" w:hAnsi="Book Antiqua"/>
          <w:noProof/>
          <w:sz w:val="24"/>
          <w:szCs w:val="24"/>
        </w:rPr>
        <w:t xml:space="preserve">. </w:t>
      </w:r>
      <w:r w:rsidRPr="00E062F4">
        <w:rPr>
          <w:rFonts w:ascii="Book Antiqua" w:hAnsi="Book Antiqua"/>
          <w:i/>
          <w:iCs/>
          <w:noProof/>
          <w:sz w:val="24"/>
          <w:szCs w:val="24"/>
        </w:rPr>
        <w:t>Jurnal Pendidikan Tambusai</w:t>
      </w:r>
      <w:r w:rsidRPr="00E062F4">
        <w:rPr>
          <w:rFonts w:ascii="Book Antiqua" w:hAnsi="Book Antiqua"/>
          <w:noProof/>
          <w:sz w:val="24"/>
          <w:szCs w:val="24"/>
        </w:rPr>
        <w:t xml:space="preserve">, </w:t>
      </w:r>
      <w:r w:rsidRPr="00E062F4">
        <w:rPr>
          <w:rFonts w:ascii="Book Antiqua" w:hAnsi="Book Antiqua"/>
          <w:i/>
          <w:iCs/>
          <w:noProof/>
          <w:sz w:val="24"/>
          <w:szCs w:val="24"/>
        </w:rPr>
        <w:t>7</w:t>
      </w:r>
      <w:r w:rsidRPr="00E062F4">
        <w:rPr>
          <w:rFonts w:ascii="Book Antiqua" w:hAnsi="Book Antiqua"/>
          <w:noProof/>
          <w:sz w:val="24"/>
          <w:szCs w:val="24"/>
        </w:rPr>
        <w:t>(3), 30987–</w:t>
      </w:r>
      <w:r w:rsidR="00C649C6">
        <w:rPr>
          <w:rFonts w:ascii="Book Antiqua" w:hAnsi="Book Antiqua"/>
          <w:noProof/>
          <w:sz w:val="24"/>
          <w:szCs w:val="24"/>
        </w:rPr>
        <w:t>30993. https://doi.org/</w:t>
      </w:r>
      <w:r w:rsidRPr="00E062F4">
        <w:rPr>
          <w:rFonts w:ascii="Book Antiqua" w:hAnsi="Book Antiqua"/>
          <w:noProof/>
          <w:sz w:val="24"/>
          <w:szCs w:val="24"/>
        </w:rPr>
        <w:t>10.31004/jptam.v7i3.12045</w:t>
      </w:r>
    </w:p>
    <w:p w14:paraId="1D52AA95"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Muslim, M., Ambiyar, A., Setiawan, D., &amp; Putra, R. (2020). Developing </w:t>
      </w:r>
      <w:r w:rsidR="000B2B37">
        <w:rPr>
          <w:rFonts w:ascii="Book Antiqua" w:hAnsi="Book Antiqua"/>
          <w:noProof/>
          <w:sz w:val="24"/>
          <w:szCs w:val="24"/>
        </w:rPr>
        <w:t>Project-Based Learning Tools f</w:t>
      </w:r>
      <w:r w:rsidR="000B2B37" w:rsidRPr="00E062F4">
        <w:rPr>
          <w:rFonts w:ascii="Book Antiqua" w:hAnsi="Book Antiqua"/>
          <w:noProof/>
          <w:sz w:val="24"/>
          <w:szCs w:val="24"/>
        </w:rPr>
        <w:t>or Light Vehic</w:t>
      </w:r>
      <w:r w:rsidR="000B2B37">
        <w:rPr>
          <w:rFonts w:ascii="Book Antiqua" w:hAnsi="Book Antiqua"/>
          <w:noProof/>
          <w:sz w:val="24"/>
          <w:szCs w:val="24"/>
        </w:rPr>
        <w:t>le Engine Maintenance Subjects a</w:t>
      </w:r>
      <w:r w:rsidR="000B2B37" w:rsidRPr="00E062F4">
        <w:rPr>
          <w:rFonts w:ascii="Book Antiqua" w:hAnsi="Book Antiqua"/>
          <w:noProof/>
          <w:sz w:val="24"/>
          <w:szCs w:val="24"/>
        </w:rPr>
        <w:t>t Vocational High Scho</w:t>
      </w:r>
      <w:r w:rsidRPr="00E062F4">
        <w:rPr>
          <w:rFonts w:ascii="Book Antiqua" w:hAnsi="Book Antiqua"/>
          <w:noProof/>
          <w:sz w:val="24"/>
          <w:szCs w:val="24"/>
        </w:rPr>
        <w:t xml:space="preserve">ol. </w:t>
      </w:r>
      <w:r w:rsidRPr="00E062F4">
        <w:rPr>
          <w:rFonts w:ascii="Book Antiqua" w:hAnsi="Book Antiqua"/>
          <w:i/>
          <w:iCs/>
          <w:noProof/>
          <w:sz w:val="24"/>
          <w:szCs w:val="24"/>
        </w:rPr>
        <w:t>Jurnal Pendidikan Vokasi</w:t>
      </w:r>
      <w:r w:rsidRPr="00E062F4">
        <w:rPr>
          <w:rFonts w:ascii="Book Antiqua" w:hAnsi="Book Antiqua"/>
          <w:noProof/>
          <w:sz w:val="24"/>
          <w:szCs w:val="24"/>
        </w:rPr>
        <w:t xml:space="preserve">, </w:t>
      </w:r>
      <w:r w:rsidRPr="00E062F4">
        <w:rPr>
          <w:rFonts w:ascii="Book Antiqua" w:hAnsi="Book Antiqua"/>
          <w:i/>
          <w:iCs/>
          <w:noProof/>
          <w:sz w:val="24"/>
          <w:szCs w:val="24"/>
        </w:rPr>
        <w:t>10</w:t>
      </w:r>
      <w:r w:rsidRPr="00E062F4">
        <w:rPr>
          <w:rFonts w:ascii="Book Antiqua" w:hAnsi="Book Antiqua"/>
          <w:noProof/>
          <w:sz w:val="24"/>
          <w:szCs w:val="24"/>
        </w:rPr>
        <w:t>(1). https://doi.org/10.21831/jpv.v10i1.29564</w:t>
      </w:r>
    </w:p>
    <w:p w14:paraId="0766C94F"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Piwowar-Sulej, K. (2021). Human </w:t>
      </w:r>
      <w:r w:rsidR="002C0CE4" w:rsidRPr="00E062F4">
        <w:rPr>
          <w:rFonts w:ascii="Book Antiqua" w:hAnsi="Book Antiqua"/>
          <w:noProof/>
          <w:sz w:val="24"/>
          <w:szCs w:val="24"/>
        </w:rPr>
        <w:t>R</w:t>
      </w:r>
      <w:r w:rsidR="002C0CE4">
        <w:rPr>
          <w:rFonts w:ascii="Book Antiqua" w:hAnsi="Book Antiqua"/>
          <w:noProof/>
          <w:sz w:val="24"/>
          <w:szCs w:val="24"/>
        </w:rPr>
        <w:t>esources Development as an Element o</w:t>
      </w:r>
      <w:r w:rsidR="002C0CE4" w:rsidRPr="00E062F4">
        <w:rPr>
          <w:rFonts w:ascii="Book Antiqua" w:hAnsi="Book Antiqua"/>
          <w:noProof/>
          <w:sz w:val="24"/>
          <w:szCs w:val="24"/>
        </w:rPr>
        <w:t xml:space="preserve">f Sustainable </w:t>
      </w:r>
      <w:r w:rsidRPr="00E062F4">
        <w:rPr>
          <w:rFonts w:ascii="Book Antiqua" w:hAnsi="Book Antiqua"/>
          <w:noProof/>
          <w:sz w:val="24"/>
          <w:szCs w:val="24"/>
        </w:rPr>
        <w:t xml:space="preserve">HRM </w:t>
      </w:r>
      <w:r w:rsidR="002C0CE4">
        <w:rPr>
          <w:rFonts w:ascii="Book Antiqua" w:hAnsi="Book Antiqua"/>
          <w:noProof/>
          <w:sz w:val="24"/>
          <w:szCs w:val="24"/>
        </w:rPr>
        <w:t>– with the Focus o</w:t>
      </w:r>
      <w:r w:rsidR="002C0CE4" w:rsidRPr="00E062F4">
        <w:rPr>
          <w:rFonts w:ascii="Book Antiqua" w:hAnsi="Book Antiqua"/>
          <w:noProof/>
          <w:sz w:val="24"/>
          <w:szCs w:val="24"/>
        </w:rPr>
        <w:t>n Production Eng</w:t>
      </w:r>
      <w:r w:rsidRPr="00E062F4">
        <w:rPr>
          <w:rFonts w:ascii="Book Antiqua" w:hAnsi="Book Antiqua"/>
          <w:noProof/>
          <w:sz w:val="24"/>
          <w:szCs w:val="24"/>
        </w:rPr>
        <w:t xml:space="preserve">ineers. </w:t>
      </w:r>
      <w:r w:rsidRPr="00E062F4">
        <w:rPr>
          <w:rFonts w:ascii="Book Antiqua" w:hAnsi="Book Antiqua"/>
          <w:i/>
          <w:iCs/>
          <w:noProof/>
          <w:sz w:val="24"/>
          <w:szCs w:val="24"/>
        </w:rPr>
        <w:t>Journal of Cleaner Production</w:t>
      </w:r>
      <w:r w:rsidRPr="00E062F4">
        <w:rPr>
          <w:rFonts w:ascii="Book Antiqua" w:hAnsi="Book Antiqua"/>
          <w:noProof/>
          <w:sz w:val="24"/>
          <w:szCs w:val="24"/>
        </w:rPr>
        <w:t xml:space="preserve">, </w:t>
      </w:r>
      <w:r w:rsidRPr="00E062F4">
        <w:rPr>
          <w:rFonts w:ascii="Book Antiqua" w:hAnsi="Book Antiqua"/>
          <w:i/>
          <w:iCs/>
          <w:noProof/>
          <w:sz w:val="24"/>
          <w:szCs w:val="24"/>
        </w:rPr>
        <w:t>278</w:t>
      </w:r>
      <w:r w:rsidRPr="00E062F4">
        <w:rPr>
          <w:rFonts w:ascii="Book Antiqua" w:hAnsi="Book Antiqua"/>
          <w:noProof/>
          <w:sz w:val="24"/>
          <w:szCs w:val="24"/>
        </w:rPr>
        <w:t>, 124008. https://doi.org/10.1016/j.jclepro.2020.124008</w:t>
      </w:r>
    </w:p>
    <w:p w14:paraId="0D459180"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Rasmitadila, R., Aliyyah, R. R., Rachmadtullah, R., Samsudin, A., Syaodih, E., Nurtanto, M., &amp; Tambunan, A. R. S. (2020). The Perceptions of Primary School Teachers of Online Learning during the COVID-19 Pandemic Period: A Case Study in Indonesia. </w:t>
      </w:r>
      <w:r w:rsidRPr="00E062F4">
        <w:rPr>
          <w:rFonts w:ascii="Book Antiqua" w:hAnsi="Book Antiqua"/>
          <w:i/>
          <w:iCs/>
          <w:noProof/>
          <w:sz w:val="24"/>
          <w:szCs w:val="24"/>
        </w:rPr>
        <w:t>Journal of Ethnic and Cultural Studies</w:t>
      </w:r>
      <w:r w:rsidRPr="00E062F4">
        <w:rPr>
          <w:rFonts w:ascii="Book Antiqua" w:hAnsi="Book Antiqua"/>
          <w:noProof/>
          <w:sz w:val="24"/>
          <w:szCs w:val="24"/>
        </w:rPr>
        <w:t>, 90–109. https://doi.org/10.29333/ejecs/388</w:t>
      </w:r>
    </w:p>
    <w:p w14:paraId="40EB9F03"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Rizqiyana, A., Fatkhurrokhman, M., &amp; Hamid, M. A. (2023). </w:t>
      </w:r>
      <w:r w:rsidR="00FA511F" w:rsidRPr="00FA511F">
        <w:rPr>
          <w:rFonts w:ascii="Book Antiqua" w:hAnsi="Book Antiqua"/>
          <w:noProof/>
          <w:sz w:val="24"/>
          <w:szCs w:val="24"/>
        </w:rPr>
        <w:t>Teacher Strategies in the Practical Learning Process of Productive Subjects in Vocational High Schools</w:t>
      </w:r>
      <w:r w:rsidRPr="00E062F4">
        <w:rPr>
          <w:rFonts w:ascii="Book Antiqua" w:hAnsi="Book Antiqua"/>
          <w:noProof/>
          <w:sz w:val="24"/>
          <w:szCs w:val="24"/>
        </w:rPr>
        <w:t xml:space="preserve">. </w:t>
      </w:r>
      <w:r w:rsidRPr="00E062F4">
        <w:rPr>
          <w:rFonts w:ascii="Book Antiqua" w:hAnsi="Book Antiqua"/>
          <w:i/>
          <w:iCs/>
          <w:noProof/>
          <w:sz w:val="24"/>
          <w:szCs w:val="24"/>
        </w:rPr>
        <w:t>Journal on Education</w:t>
      </w:r>
      <w:r w:rsidRPr="00E062F4">
        <w:rPr>
          <w:rFonts w:ascii="Book Antiqua" w:hAnsi="Book Antiqua"/>
          <w:noProof/>
          <w:sz w:val="24"/>
          <w:szCs w:val="24"/>
        </w:rPr>
        <w:t xml:space="preserve">, </w:t>
      </w:r>
      <w:r w:rsidRPr="00E062F4">
        <w:rPr>
          <w:rFonts w:ascii="Book Antiqua" w:hAnsi="Book Antiqua"/>
          <w:i/>
          <w:iCs/>
          <w:noProof/>
          <w:sz w:val="24"/>
          <w:szCs w:val="24"/>
        </w:rPr>
        <w:t>6</w:t>
      </w:r>
      <w:r w:rsidRPr="00E062F4">
        <w:rPr>
          <w:rFonts w:ascii="Book Antiqua" w:hAnsi="Book Antiqua"/>
          <w:noProof/>
          <w:sz w:val="24"/>
          <w:szCs w:val="24"/>
        </w:rPr>
        <w:t>(1), 7797–7811. https://doi.org/10.31004/joe.v6i1.4175</w:t>
      </w:r>
    </w:p>
    <w:p w14:paraId="2A4002D1"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Suharno, Pambudi, N. A., &amp; Harjanto, B. (2020). Vocational </w:t>
      </w:r>
      <w:r w:rsidR="00FA511F">
        <w:rPr>
          <w:rFonts w:ascii="Book Antiqua" w:hAnsi="Book Antiqua"/>
          <w:noProof/>
          <w:sz w:val="24"/>
          <w:szCs w:val="24"/>
        </w:rPr>
        <w:t>Education i</w:t>
      </w:r>
      <w:r w:rsidR="00FA511F" w:rsidRPr="00E062F4">
        <w:rPr>
          <w:rFonts w:ascii="Book Antiqua" w:hAnsi="Book Antiqua"/>
          <w:noProof/>
          <w:sz w:val="24"/>
          <w:szCs w:val="24"/>
        </w:rPr>
        <w:t>n Indonesia: Histor</w:t>
      </w:r>
      <w:r w:rsidR="00FA511F">
        <w:rPr>
          <w:rFonts w:ascii="Book Antiqua" w:hAnsi="Book Antiqua"/>
          <w:noProof/>
          <w:sz w:val="24"/>
          <w:szCs w:val="24"/>
        </w:rPr>
        <w:t>y, Development, Opportunities, a</w:t>
      </w:r>
      <w:r w:rsidR="00FA511F" w:rsidRPr="00E062F4">
        <w:rPr>
          <w:rFonts w:ascii="Book Antiqua" w:hAnsi="Book Antiqua"/>
          <w:noProof/>
          <w:sz w:val="24"/>
          <w:szCs w:val="24"/>
        </w:rPr>
        <w:t>nd Challe</w:t>
      </w:r>
      <w:r w:rsidRPr="00E062F4">
        <w:rPr>
          <w:rFonts w:ascii="Book Antiqua" w:hAnsi="Book Antiqua"/>
          <w:noProof/>
          <w:sz w:val="24"/>
          <w:szCs w:val="24"/>
        </w:rPr>
        <w:t xml:space="preserve">nges. </w:t>
      </w:r>
      <w:r w:rsidRPr="00E062F4">
        <w:rPr>
          <w:rFonts w:ascii="Book Antiqua" w:hAnsi="Book Antiqua"/>
          <w:i/>
          <w:iCs/>
          <w:noProof/>
          <w:sz w:val="24"/>
          <w:szCs w:val="24"/>
        </w:rPr>
        <w:t>Children and Youth Services Review</w:t>
      </w:r>
      <w:r w:rsidRPr="00E062F4">
        <w:rPr>
          <w:rFonts w:ascii="Book Antiqua" w:hAnsi="Book Antiqua"/>
          <w:noProof/>
          <w:sz w:val="24"/>
          <w:szCs w:val="24"/>
        </w:rPr>
        <w:t xml:space="preserve">, </w:t>
      </w:r>
      <w:r w:rsidRPr="00E062F4">
        <w:rPr>
          <w:rFonts w:ascii="Book Antiqua" w:hAnsi="Book Antiqua"/>
          <w:i/>
          <w:iCs/>
          <w:noProof/>
          <w:sz w:val="24"/>
          <w:szCs w:val="24"/>
        </w:rPr>
        <w:t>115</w:t>
      </w:r>
      <w:r w:rsidRPr="00E062F4">
        <w:rPr>
          <w:rFonts w:ascii="Book Antiqua" w:hAnsi="Book Antiqua"/>
          <w:noProof/>
          <w:sz w:val="24"/>
          <w:szCs w:val="24"/>
        </w:rPr>
        <w:t>, 105092. https://doi.org/10.1016/j.childyouth.2020.105092</w:t>
      </w:r>
    </w:p>
    <w:p w14:paraId="74B8E5C3"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Triyanto, T., Parno, P., &amp; Sukatiman, S. (2022). The Application of Job Sheet Teaching Material Products on Project-Based Learning at Vocational School Mikael Surakarta. </w:t>
      </w:r>
      <w:r w:rsidRPr="00E062F4">
        <w:rPr>
          <w:rFonts w:ascii="Book Antiqua" w:hAnsi="Book Antiqua"/>
          <w:i/>
          <w:iCs/>
          <w:noProof/>
          <w:sz w:val="24"/>
          <w:szCs w:val="24"/>
        </w:rPr>
        <w:t>QALAMU</w:t>
      </w:r>
      <w:r w:rsidR="004B0E9D">
        <w:rPr>
          <w:rFonts w:ascii="Book Antiqua" w:hAnsi="Book Antiqua"/>
          <w:i/>
          <w:iCs/>
          <w:noProof/>
          <w:sz w:val="24"/>
          <w:szCs w:val="24"/>
        </w:rPr>
        <w:t>NA: Jurnal Pendidikan, Sosial, d</w:t>
      </w:r>
      <w:r w:rsidRPr="00E062F4">
        <w:rPr>
          <w:rFonts w:ascii="Book Antiqua" w:hAnsi="Book Antiqua"/>
          <w:i/>
          <w:iCs/>
          <w:noProof/>
          <w:sz w:val="24"/>
          <w:szCs w:val="24"/>
        </w:rPr>
        <w:t>an Agama</w:t>
      </w:r>
      <w:r w:rsidRPr="00E062F4">
        <w:rPr>
          <w:rFonts w:ascii="Book Antiqua" w:hAnsi="Book Antiqua"/>
          <w:noProof/>
          <w:sz w:val="24"/>
          <w:szCs w:val="24"/>
        </w:rPr>
        <w:t xml:space="preserve">, </w:t>
      </w:r>
      <w:r w:rsidRPr="00E062F4">
        <w:rPr>
          <w:rFonts w:ascii="Book Antiqua" w:hAnsi="Book Antiqua"/>
          <w:i/>
          <w:iCs/>
          <w:noProof/>
          <w:sz w:val="24"/>
          <w:szCs w:val="24"/>
        </w:rPr>
        <w:t>14</w:t>
      </w:r>
      <w:r w:rsidRPr="00E062F4">
        <w:rPr>
          <w:rFonts w:ascii="Book Antiqua" w:hAnsi="Book Antiqua"/>
          <w:noProof/>
          <w:sz w:val="24"/>
          <w:szCs w:val="24"/>
        </w:rPr>
        <w:t>(2), 311–322. https://doi.org/10.37680/qalamuna.v14i2.3145</w:t>
      </w:r>
    </w:p>
    <w:p w14:paraId="745361DF"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Wulansari, V., &amp; Maunah, B. (2024). </w:t>
      </w:r>
      <w:r w:rsidR="004B0E9D">
        <w:rPr>
          <w:rFonts w:ascii="Book Antiqua" w:hAnsi="Book Antiqua"/>
          <w:noProof/>
          <w:sz w:val="24"/>
          <w:szCs w:val="24"/>
        </w:rPr>
        <w:t>Educational Renewal and Development in Forming Students to be More Advanced in t</w:t>
      </w:r>
      <w:r w:rsidR="004B0E9D" w:rsidRPr="004B0E9D">
        <w:rPr>
          <w:rFonts w:ascii="Book Antiqua" w:hAnsi="Book Antiqua"/>
          <w:noProof/>
          <w:sz w:val="24"/>
          <w:szCs w:val="24"/>
        </w:rPr>
        <w:t>he Digital Era</w:t>
      </w:r>
      <w:r w:rsidRPr="00E062F4">
        <w:rPr>
          <w:rFonts w:ascii="Book Antiqua" w:hAnsi="Book Antiqua"/>
          <w:noProof/>
          <w:sz w:val="24"/>
          <w:szCs w:val="24"/>
        </w:rPr>
        <w:t xml:space="preserve">. </w:t>
      </w:r>
      <w:r w:rsidRPr="00E062F4">
        <w:rPr>
          <w:rFonts w:ascii="Book Antiqua" w:hAnsi="Book Antiqua"/>
          <w:i/>
          <w:iCs/>
          <w:noProof/>
          <w:sz w:val="24"/>
          <w:szCs w:val="24"/>
        </w:rPr>
        <w:t>Widya Didaktika -Urnal Ilmiah Kependidikan</w:t>
      </w:r>
      <w:r w:rsidRPr="00E062F4">
        <w:rPr>
          <w:rFonts w:ascii="Book Antiqua" w:hAnsi="Book Antiqua"/>
          <w:noProof/>
          <w:sz w:val="24"/>
          <w:szCs w:val="24"/>
        </w:rPr>
        <w:t xml:space="preserve">, </w:t>
      </w:r>
      <w:r w:rsidRPr="00E062F4">
        <w:rPr>
          <w:rFonts w:ascii="Book Antiqua" w:hAnsi="Book Antiqua"/>
          <w:i/>
          <w:iCs/>
          <w:noProof/>
          <w:sz w:val="24"/>
          <w:szCs w:val="24"/>
        </w:rPr>
        <w:t>3</w:t>
      </w:r>
      <w:r w:rsidRPr="00E062F4">
        <w:rPr>
          <w:rFonts w:ascii="Book Antiqua" w:hAnsi="Book Antiqua"/>
          <w:noProof/>
          <w:sz w:val="24"/>
          <w:szCs w:val="24"/>
        </w:rPr>
        <w:t>(1), 45–60. https://doi.org/10.54840/juwita.v3i1.264</w:t>
      </w:r>
    </w:p>
    <w:p w14:paraId="3DDEA7EA" w14:textId="77777777" w:rsidR="00E062F4" w:rsidRPr="00E062F4"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Yip, J., Wong, S.-H., Yick, K.-L., Chan, K., &amp; Wong, K.-H. (2019). Improving </w:t>
      </w:r>
      <w:r w:rsidR="00FA6566">
        <w:rPr>
          <w:rFonts w:ascii="Book Antiqua" w:hAnsi="Book Antiqua"/>
          <w:noProof/>
          <w:sz w:val="24"/>
          <w:szCs w:val="24"/>
        </w:rPr>
        <w:t>Quality of Teaching and Learning in Classes b</w:t>
      </w:r>
      <w:r w:rsidR="00FA6566" w:rsidRPr="00E062F4">
        <w:rPr>
          <w:rFonts w:ascii="Book Antiqua" w:hAnsi="Book Antiqua"/>
          <w:noProof/>
          <w:sz w:val="24"/>
          <w:szCs w:val="24"/>
        </w:rPr>
        <w:t>y Using Augmented Reality Vid</w:t>
      </w:r>
      <w:r w:rsidRPr="00E062F4">
        <w:rPr>
          <w:rFonts w:ascii="Book Antiqua" w:hAnsi="Book Antiqua"/>
          <w:noProof/>
          <w:sz w:val="24"/>
          <w:szCs w:val="24"/>
        </w:rPr>
        <w:t xml:space="preserve">eo. </w:t>
      </w:r>
      <w:r w:rsidRPr="00E062F4">
        <w:rPr>
          <w:rFonts w:ascii="Book Antiqua" w:hAnsi="Book Antiqua"/>
          <w:i/>
          <w:iCs/>
          <w:noProof/>
          <w:sz w:val="24"/>
          <w:szCs w:val="24"/>
        </w:rPr>
        <w:t>Computers &amp; Education</w:t>
      </w:r>
      <w:r w:rsidRPr="00E062F4">
        <w:rPr>
          <w:rFonts w:ascii="Book Antiqua" w:hAnsi="Book Antiqua"/>
          <w:noProof/>
          <w:sz w:val="24"/>
          <w:szCs w:val="24"/>
        </w:rPr>
        <w:t xml:space="preserve">, </w:t>
      </w:r>
      <w:r w:rsidRPr="00E062F4">
        <w:rPr>
          <w:rFonts w:ascii="Book Antiqua" w:hAnsi="Book Antiqua"/>
          <w:i/>
          <w:iCs/>
          <w:noProof/>
          <w:sz w:val="24"/>
          <w:szCs w:val="24"/>
        </w:rPr>
        <w:t>128</w:t>
      </w:r>
      <w:r w:rsidRPr="00E062F4">
        <w:rPr>
          <w:rFonts w:ascii="Book Antiqua" w:hAnsi="Book Antiqua"/>
          <w:noProof/>
          <w:sz w:val="24"/>
          <w:szCs w:val="24"/>
        </w:rPr>
        <w:t>, 88–101. https://doi.org/10.1016/j.compedu.2018.09.014</w:t>
      </w:r>
    </w:p>
    <w:p w14:paraId="26C9735E" w14:textId="14BD2E7B" w:rsidR="009E7149" w:rsidRPr="00AE590B" w:rsidRDefault="00E062F4" w:rsidP="00E153D7">
      <w:pPr>
        <w:widowControl w:val="0"/>
        <w:autoSpaceDE w:val="0"/>
        <w:autoSpaceDN w:val="0"/>
        <w:adjustRightInd w:val="0"/>
        <w:spacing w:after="0" w:line="240" w:lineRule="auto"/>
        <w:ind w:left="480" w:hanging="480"/>
        <w:jc w:val="both"/>
        <w:rPr>
          <w:rFonts w:ascii="Book Antiqua" w:hAnsi="Book Antiqua"/>
          <w:noProof/>
          <w:sz w:val="24"/>
          <w:szCs w:val="24"/>
        </w:rPr>
      </w:pPr>
      <w:r w:rsidRPr="00E062F4">
        <w:rPr>
          <w:rFonts w:ascii="Book Antiqua" w:hAnsi="Book Antiqua"/>
          <w:noProof/>
          <w:sz w:val="24"/>
          <w:szCs w:val="24"/>
        </w:rPr>
        <w:t xml:space="preserve">Zainuddin, Z., &amp; Perera, C. J. (2018). Supporting </w:t>
      </w:r>
      <w:r w:rsidR="00C826A6" w:rsidRPr="00E062F4">
        <w:rPr>
          <w:rFonts w:ascii="Book Antiqua" w:hAnsi="Book Antiqua"/>
          <w:noProof/>
          <w:sz w:val="24"/>
          <w:szCs w:val="24"/>
        </w:rPr>
        <w:t>St</w:t>
      </w:r>
      <w:r w:rsidR="00C826A6">
        <w:rPr>
          <w:rFonts w:ascii="Book Antiqua" w:hAnsi="Book Antiqua"/>
          <w:noProof/>
          <w:sz w:val="24"/>
          <w:szCs w:val="24"/>
        </w:rPr>
        <w:t>udents’ Self-Directed Learning in t</w:t>
      </w:r>
      <w:r w:rsidR="00C826A6" w:rsidRPr="00E062F4">
        <w:rPr>
          <w:rFonts w:ascii="Book Antiqua" w:hAnsi="Book Antiqua"/>
          <w:noProof/>
          <w:sz w:val="24"/>
          <w:szCs w:val="24"/>
        </w:rPr>
        <w:t>he Flipped Class</w:t>
      </w:r>
      <w:r w:rsidRPr="00E062F4">
        <w:rPr>
          <w:rFonts w:ascii="Book Antiqua" w:hAnsi="Book Antiqua"/>
          <w:noProof/>
          <w:sz w:val="24"/>
          <w:szCs w:val="24"/>
        </w:rPr>
        <w:t xml:space="preserve">room through the LMS TES BlendSpace. </w:t>
      </w:r>
      <w:r w:rsidRPr="00E062F4">
        <w:rPr>
          <w:rFonts w:ascii="Book Antiqua" w:hAnsi="Book Antiqua"/>
          <w:i/>
          <w:iCs/>
          <w:noProof/>
          <w:sz w:val="24"/>
          <w:szCs w:val="24"/>
        </w:rPr>
        <w:t>On the Horizon</w:t>
      </w:r>
      <w:r w:rsidRPr="00E062F4">
        <w:rPr>
          <w:rFonts w:ascii="Book Antiqua" w:hAnsi="Book Antiqua"/>
          <w:noProof/>
          <w:sz w:val="24"/>
          <w:szCs w:val="24"/>
        </w:rPr>
        <w:t xml:space="preserve">, </w:t>
      </w:r>
      <w:r w:rsidRPr="00E062F4">
        <w:rPr>
          <w:rFonts w:ascii="Book Antiqua" w:hAnsi="Book Antiqua"/>
          <w:i/>
          <w:iCs/>
          <w:noProof/>
          <w:sz w:val="24"/>
          <w:szCs w:val="24"/>
        </w:rPr>
        <w:t>26</w:t>
      </w:r>
      <w:r w:rsidRPr="00E062F4">
        <w:rPr>
          <w:rFonts w:ascii="Book Antiqua" w:hAnsi="Book Antiqua"/>
          <w:noProof/>
          <w:sz w:val="24"/>
          <w:szCs w:val="24"/>
        </w:rPr>
        <w:t>(4), 281–290. https://doi.org/10.1108/OTH-04-2017-0016</w:t>
      </w:r>
      <w:r w:rsidR="007364B9">
        <w:rPr>
          <w:rFonts w:ascii="Book Antiqua" w:hAnsi="Book Antiqua"/>
          <w:noProof/>
          <w:sz w:val="24"/>
          <w:szCs w:val="24"/>
        </w:rPr>
        <w:fldChar w:fldCharType="end"/>
      </w:r>
    </w:p>
    <w:sectPr w:rsidR="009E7149" w:rsidRPr="00AE590B" w:rsidSect="004E40B1">
      <w:headerReference w:type="default" r:id="rId12"/>
      <w:footerReference w:type="default" r:id="rId13"/>
      <w:pgSz w:w="11907" w:h="16839"/>
      <w:pgMar w:top="1440" w:right="1440" w:bottom="1440" w:left="1440" w:header="720" w:footer="720" w:gutter="0"/>
      <w:pgNumType w:start="12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69B78" w14:textId="77777777" w:rsidR="00786975" w:rsidRDefault="00786975">
      <w:pPr>
        <w:spacing w:after="0" w:line="240" w:lineRule="auto"/>
      </w:pPr>
      <w:r>
        <w:separator/>
      </w:r>
    </w:p>
  </w:endnote>
  <w:endnote w:type="continuationSeparator" w:id="0">
    <w:p w14:paraId="42388A30" w14:textId="77777777" w:rsidR="00786975" w:rsidRDefault="00786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legaGarmnd BT">
    <w:altName w:val="Times New Roman"/>
    <w:charset w:val="00"/>
    <w:family w:val="roman"/>
    <w:pitch w:val="variable"/>
    <w:sig w:usb0="00000087" w:usb1="00000000" w:usb2="00000000" w:usb3="00000000" w:csb0="0000001B" w:csb1="00000000"/>
  </w:font>
  <w:font w:name="Palatino Linotype">
    <w:panose1 w:val="02040502050505030304"/>
    <w:charset w:val="00"/>
    <w:family w:val="roman"/>
    <w:pitch w:val="variable"/>
    <w:sig w:usb0="E0000287" w:usb1="40000013" w:usb2="00000000" w:usb3="00000000" w:csb0="0000019F" w:csb1="00000000"/>
  </w:font>
  <w:font w:name="Arial MT">
    <w:altName w:val="Arial"/>
    <w:charset w:val="01"/>
    <w:family w:val="swiss"/>
    <w:pitch w:val="variable"/>
  </w:font>
  <w:font w:name="DengXian">
    <w:altName w:val="等线"/>
    <w:panose1 w:val="02010600030101010101"/>
    <w:charset w:val="86"/>
    <w:family w:val="auto"/>
    <w:pitch w:val="variable"/>
    <w:sig w:usb0="A00002BF" w:usb1="38CF7CFA" w:usb2="00000016" w:usb3="00000000" w:csb0="0004000F" w:csb1="00000000"/>
  </w:font>
  <w:font w:name="Calisto MT">
    <w:panose1 w:val="02040603050505030304"/>
    <w:charset w:val="00"/>
    <w:family w:val="roman"/>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19934" w14:textId="77777777" w:rsidR="00BD4DB2" w:rsidRPr="00A2408E" w:rsidRDefault="00BD4DB2">
    <w:pPr>
      <w:pStyle w:val="Footer"/>
      <w:jc w:val="right"/>
      <w:rPr>
        <w:rFonts w:ascii="Book Antiqua" w:hAnsi="Book Antiqua"/>
      </w:rPr>
    </w:pPr>
    <w:r w:rsidRPr="00A2408E">
      <w:rPr>
        <w:rFonts w:ascii="Book Antiqua" w:hAnsi="Book Antiqua"/>
      </w:rPr>
      <w:fldChar w:fldCharType="begin"/>
    </w:r>
    <w:r w:rsidRPr="00A2408E">
      <w:rPr>
        <w:rFonts w:ascii="Book Antiqua" w:hAnsi="Book Antiqua"/>
      </w:rPr>
      <w:instrText xml:space="preserve"> PAGE   \* MERGEFORMAT </w:instrText>
    </w:r>
    <w:r w:rsidRPr="00A2408E">
      <w:rPr>
        <w:rFonts w:ascii="Book Antiqua" w:hAnsi="Book Antiqua"/>
      </w:rPr>
      <w:fldChar w:fldCharType="separate"/>
    </w:r>
    <w:r w:rsidR="00C826A6">
      <w:rPr>
        <w:rFonts w:ascii="Book Antiqua" w:hAnsi="Book Antiqua"/>
        <w:noProof/>
      </w:rPr>
      <w:t>414</w:t>
    </w:r>
    <w:r w:rsidRPr="00A2408E">
      <w:rPr>
        <w:rFonts w:ascii="Book Antiqua" w:hAnsi="Book Antiqua"/>
      </w:rPr>
      <w:fldChar w:fldCharType="end"/>
    </w:r>
  </w:p>
  <w:p w14:paraId="40BF4006" w14:textId="77777777" w:rsidR="00BD4DB2" w:rsidRDefault="00BD4D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395FB" w14:textId="77777777" w:rsidR="00786975" w:rsidRDefault="00786975">
      <w:pPr>
        <w:spacing w:after="0" w:line="240" w:lineRule="auto"/>
      </w:pPr>
      <w:r>
        <w:separator/>
      </w:r>
    </w:p>
  </w:footnote>
  <w:footnote w:type="continuationSeparator" w:id="0">
    <w:p w14:paraId="00ADBE45" w14:textId="77777777" w:rsidR="00786975" w:rsidRDefault="007869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EB42B" w14:textId="77777777" w:rsidR="00BD4DB2" w:rsidRPr="00C301BE" w:rsidRDefault="00BD4DB2" w:rsidP="003A3665">
    <w:pPr>
      <w:pStyle w:val="Header"/>
      <w:tabs>
        <w:tab w:val="left" w:pos="720"/>
      </w:tabs>
      <w:spacing w:after="0" w:line="240" w:lineRule="auto"/>
      <w:jc w:val="both"/>
      <w:rPr>
        <w:rFonts w:ascii="Book Antiqua" w:hAnsi="Book Antiqua"/>
        <w:i/>
        <w:sz w:val="24"/>
        <w:szCs w:val="24"/>
        <w:lang w:val="id-ID"/>
      </w:rPr>
    </w:pPr>
    <w:r>
      <w:rPr>
        <w:rFonts w:ascii="Book Antiqua" w:hAnsi="Book Antiqua"/>
        <w:i/>
        <w:sz w:val="24"/>
        <w:szCs w:val="24"/>
      </w:rPr>
      <w:t>Journal of Social Work and Science Education</w:t>
    </w:r>
  </w:p>
  <w:p w14:paraId="01B293D1" w14:textId="65330F38" w:rsidR="00BD4DB2" w:rsidRPr="00C301BE" w:rsidRDefault="00BD4DB2" w:rsidP="003A3665">
    <w:pPr>
      <w:pStyle w:val="Header"/>
      <w:tabs>
        <w:tab w:val="left" w:pos="720"/>
      </w:tabs>
      <w:spacing w:after="0" w:line="240" w:lineRule="auto"/>
      <w:jc w:val="both"/>
      <w:rPr>
        <w:rFonts w:ascii="Book Antiqua" w:hAnsi="Book Antiqua"/>
        <w:i/>
        <w:sz w:val="24"/>
        <w:szCs w:val="24"/>
      </w:rPr>
    </w:pPr>
    <w:r w:rsidRPr="00C301BE">
      <w:rPr>
        <w:rFonts w:ascii="Book Antiqua" w:hAnsi="Book Antiqua"/>
        <w:i/>
        <w:sz w:val="24"/>
        <w:szCs w:val="24"/>
      </w:rPr>
      <w:t xml:space="preserve">Volume </w:t>
    </w:r>
    <w:r w:rsidR="003E1F50">
      <w:rPr>
        <w:rFonts w:ascii="Book Antiqua" w:hAnsi="Book Antiqua"/>
        <w:i/>
        <w:sz w:val="24"/>
        <w:szCs w:val="24"/>
      </w:rPr>
      <w:t>5</w:t>
    </w:r>
    <w:r w:rsidRPr="00C301BE">
      <w:rPr>
        <w:rFonts w:ascii="Book Antiqua" w:hAnsi="Book Antiqua"/>
        <w:i/>
        <w:sz w:val="24"/>
        <w:szCs w:val="24"/>
      </w:rPr>
      <w:t xml:space="preserve"> (</w:t>
    </w:r>
    <w:r w:rsidR="003E1F50">
      <w:rPr>
        <w:rFonts w:ascii="Book Antiqua" w:hAnsi="Book Antiqua"/>
        <w:i/>
        <w:sz w:val="24"/>
        <w:szCs w:val="24"/>
      </w:rPr>
      <w:t>3</w:t>
    </w:r>
    <w:r w:rsidRPr="00C301BE">
      <w:rPr>
        <w:rFonts w:ascii="Book Antiqua" w:hAnsi="Book Antiqua"/>
        <w:i/>
        <w:sz w:val="24"/>
        <w:szCs w:val="24"/>
      </w:rPr>
      <w:t>) 202</w:t>
    </w:r>
    <w:r w:rsidR="003E1F50">
      <w:rPr>
        <w:rFonts w:ascii="Book Antiqua" w:hAnsi="Book Antiqua"/>
        <w:i/>
        <w:sz w:val="24"/>
        <w:szCs w:val="24"/>
      </w:rPr>
      <w:t>4</w:t>
    </w:r>
    <w:r>
      <w:rPr>
        <w:rFonts w:ascii="Book Antiqua" w:hAnsi="Book Antiqua"/>
        <w:i/>
        <w:sz w:val="24"/>
        <w:szCs w:val="24"/>
      </w:rPr>
      <w:t>, 1</w:t>
    </w:r>
    <w:r w:rsidR="004E40B1">
      <w:rPr>
        <w:rFonts w:ascii="Book Antiqua" w:hAnsi="Book Antiqua"/>
        <w:i/>
        <w:sz w:val="24"/>
        <w:szCs w:val="24"/>
      </w:rPr>
      <w:t>259</w:t>
    </w:r>
    <w:r>
      <w:rPr>
        <w:rFonts w:ascii="Book Antiqua" w:hAnsi="Book Antiqua"/>
        <w:i/>
        <w:sz w:val="24"/>
        <w:szCs w:val="24"/>
      </w:rPr>
      <w:t>-1</w:t>
    </w:r>
    <w:r w:rsidR="004E40B1">
      <w:rPr>
        <w:rFonts w:ascii="Book Antiqua" w:hAnsi="Book Antiqua"/>
        <w:i/>
        <w:sz w:val="24"/>
        <w:szCs w:val="24"/>
      </w:rPr>
      <w:t>272</w:t>
    </w:r>
  </w:p>
  <w:p w14:paraId="3ADD6343" w14:textId="77777777" w:rsidR="00BD4DB2" w:rsidRDefault="00BD4DB2">
    <w:pPr>
      <w:pStyle w:val="Header"/>
      <w:tabs>
        <w:tab w:val="left" w:pos="720"/>
      </w:tabs>
      <w:spacing w:after="0" w:line="240" w:lineRule="auto"/>
      <w:jc w:val="both"/>
      <w:rPr>
        <w:rFonts w:ascii="Book Antiqua" w:hAnsi="Book Antiqua"/>
        <w:i/>
        <w:color w:val="000000"/>
        <w:shd w:val="clear" w:color="auto" w:fill="FFFFFF"/>
      </w:rPr>
    </w:pPr>
    <w:r w:rsidRPr="00C301BE">
      <w:rPr>
        <w:rFonts w:ascii="Book Antiqua" w:hAnsi="Book Antiqua"/>
        <w:i/>
        <w:sz w:val="24"/>
        <w:szCs w:val="24"/>
      </w:rPr>
      <w:t>E-ISSN 2</w:t>
    </w:r>
    <w:r>
      <w:rPr>
        <w:rFonts w:ascii="Book Antiqua" w:hAnsi="Book Antiqua"/>
        <w:i/>
        <w:sz w:val="24"/>
        <w:szCs w:val="24"/>
      </w:rPr>
      <w:t>723</w:t>
    </w:r>
    <w:r w:rsidRPr="00C301BE">
      <w:rPr>
        <w:rFonts w:ascii="Book Antiqua" w:hAnsi="Book Antiqua"/>
        <w:i/>
        <w:sz w:val="24"/>
        <w:szCs w:val="24"/>
      </w:rPr>
      <w:t>-</w:t>
    </w:r>
    <w:r>
      <w:rPr>
        <w:rFonts w:ascii="Book Antiqua" w:hAnsi="Book Antiqua"/>
        <w:i/>
        <w:sz w:val="24"/>
        <w:szCs w:val="24"/>
      </w:rPr>
      <w:t>6919</w:t>
    </w:r>
    <w:r w:rsidRPr="00C301BE">
      <w:rPr>
        <w:rFonts w:ascii="Book Antiqua" w:hAnsi="Book Antiqua"/>
        <w:i/>
        <w:sz w:val="24"/>
        <w:szCs w:val="24"/>
      </w:rPr>
      <w:t>, P-ISSN 2</w:t>
    </w:r>
    <w:r>
      <w:rPr>
        <w:rFonts w:ascii="Book Antiqua" w:hAnsi="Book Antiqua"/>
        <w:i/>
        <w:sz w:val="24"/>
        <w:szCs w:val="24"/>
      </w:rPr>
      <w:t>7</w:t>
    </w:r>
    <w:r w:rsidRPr="00C301BE">
      <w:rPr>
        <w:rFonts w:ascii="Book Antiqua" w:hAnsi="Book Antiqua"/>
        <w:i/>
        <w:sz w:val="24"/>
        <w:szCs w:val="24"/>
      </w:rPr>
      <w:t>4</w:t>
    </w:r>
    <w:r>
      <w:rPr>
        <w:rFonts w:ascii="Book Antiqua" w:hAnsi="Book Antiqua"/>
        <w:i/>
        <w:sz w:val="24"/>
        <w:szCs w:val="24"/>
      </w:rPr>
      <w:t>6</w:t>
    </w:r>
    <w:r w:rsidRPr="00C301BE">
      <w:rPr>
        <w:rFonts w:ascii="Book Antiqua" w:hAnsi="Book Antiqua"/>
        <w:i/>
        <w:sz w:val="24"/>
        <w:szCs w:val="24"/>
      </w:rPr>
      <w:t>-0</w:t>
    </w:r>
    <w:r>
      <w:rPr>
        <w:rFonts w:ascii="Book Antiqua" w:hAnsi="Book Antiqua"/>
        <w:i/>
        <w:sz w:val="24"/>
        <w:szCs w:val="24"/>
      </w:rPr>
      <w:t>827</w:t>
    </w:r>
    <w:r w:rsidRPr="00C301BE">
      <w:rPr>
        <w:rFonts w:ascii="Book Antiqua" w:hAnsi="Book Antiqua"/>
        <w:i/>
        <w:color w:val="000000"/>
        <w:shd w:val="clear" w:color="auto" w:fill="FFFFFF"/>
      </w:rPr>
      <w:t> </w:t>
    </w:r>
  </w:p>
  <w:p w14:paraId="5A35CCDE" w14:textId="77777777" w:rsidR="00BD4DB2" w:rsidRDefault="00BD4DB2">
    <w:pPr>
      <w:pStyle w:val="Header"/>
      <w:tabs>
        <w:tab w:val="left" w:pos="720"/>
      </w:tabs>
      <w:spacing w:after="0" w:line="240" w:lineRule="auto"/>
      <w:jc w:val="both"/>
      <w:rPr>
        <w:rFonts w:ascii="Book Antiqua" w:hAnsi="Book Antiqua"/>
        <w:i/>
        <w:color w:val="000000"/>
        <w:shd w:val="clear" w:color="auto" w:fill="FFFFFF"/>
      </w:rPr>
    </w:pPr>
  </w:p>
  <w:p w14:paraId="5D015516" w14:textId="77777777" w:rsidR="00BD4DB2" w:rsidRPr="00C301BE" w:rsidRDefault="00BD4DB2">
    <w:pPr>
      <w:pStyle w:val="Header"/>
      <w:tabs>
        <w:tab w:val="left" w:pos="720"/>
      </w:tabs>
      <w:spacing w:after="0" w:line="240" w:lineRule="auto"/>
      <w:jc w:val="both"/>
      <w:rPr>
        <w:rFonts w:ascii="Book Antiqua" w:hAnsi="Book Antiqua"/>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16D9F"/>
    <w:multiLevelType w:val="hybridMultilevel"/>
    <w:tmpl w:val="DE24A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56571"/>
    <w:multiLevelType w:val="multilevel"/>
    <w:tmpl w:val="33B62F7E"/>
    <w:styleLink w:val="CurrentList1"/>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A0410F2"/>
    <w:multiLevelType w:val="hybridMultilevel"/>
    <w:tmpl w:val="2BD4A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3871F9"/>
    <w:multiLevelType w:val="hybridMultilevel"/>
    <w:tmpl w:val="0DEA0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0CE0"/>
    <w:rsid w:val="000007CC"/>
    <w:rsid w:val="00002B17"/>
    <w:rsid w:val="00005027"/>
    <w:rsid w:val="00005F2D"/>
    <w:rsid w:val="00006B48"/>
    <w:rsid w:val="00007254"/>
    <w:rsid w:val="00012470"/>
    <w:rsid w:val="00015221"/>
    <w:rsid w:val="000159CD"/>
    <w:rsid w:val="000165DB"/>
    <w:rsid w:val="00016D9E"/>
    <w:rsid w:val="0002094B"/>
    <w:rsid w:val="00021FEF"/>
    <w:rsid w:val="00022EAA"/>
    <w:rsid w:val="00033F52"/>
    <w:rsid w:val="0003448C"/>
    <w:rsid w:val="0004237A"/>
    <w:rsid w:val="0004656B"/>
    <w:rsid w:val="00047EF6"/>
    <w:rsid w:val="00050F6B"/>
    <w:rsid w:val="000524C9"/>
    <w:rsid w:val="00052BEB"/>
    <w:rsid w:val="00052CA6"/>
    <w:rsid w:val="00053BA9"/>
    <w:rsid w:val="00054A46"/>
    <w:rsid w:val="00067B10"/>
    <w:rsid w:val="000706ED"/>
    <w:rsid w:val="0007576F"/>
    <w:rsid w:val="00080E95"/>
    <w:rsid w:val="000810E5"/>
    <w:rsid w:val="000811F1"/>
    <w:rsid w:val="00081451"/>
    <w:rsid w:val="000824C5"/>
    <w:rsid w:val="000830CD"/>
    <w:rsid w:val="00084109"/>
    <w:rsid w:val="000841D3"/>
    <w:rsid w:val="00086E0E"/>
    <w:rsid w:val="00087A91"/>
    <w:rsid w:val="000902D2"/>
    <w:rsid w:val="000935C5"/>
    <w:rsid w:val="00093E2E"/>
    <w:rsid w:val="00094822"/>
    <w:rsid w:val="00094BB1"/>
    <w:rsid w:val="00095056"/>
    <w:rsid w:val="000A146E"/>
    <w:rsid w:val="000A1996"/>
    <w:rsid w:val="000A6479"/>
    <w:rsid w:val="000A7265"/>
    <w:rsid w:val="000A73E2"/>
    <w:rsid w:val="000B00B3"/>
    <w:rsid w:val="000B0AEC"/>
    <w:rsid w:val="000B13E9"/>
    <w:rsid w:val="000B26CB"/>
    <w:rsid w:val="000B2B37"/>
    <w:rsid w:val="000B3287"/>
    <w:rsid w:val="000B4403"/>
    <w:rsid w:val="000B578E"/>
    <w:rsid w:val="000B5919"/>
    <w:rsid w:val="000B5ABD"/>
    <w:rsid w:val="000B7748"/>
    <w:rsid w:val="000C0DA2"/>
    <w:rsid w:val="000C0FF4"/>
    <w:rsid w:val="000C1873"/>
    <w:rsid w:val="000C24BE"/>
    <w:rsid w:val="000C253F"/>
    <w:rsid w:val="000C2EAF"/>
    <w:rsid w:val="000C44F5"/>
    <w:rsid w:val="000C45F8"/>
    <w:rsid w:val="000C54FE"/>
    <w:rsid w:val="000C56A7"/>
    <w:rsid w:val="000C7937"/>
    <w:rsid w:val="000D201D"/>
    <w:rsid w:val="000D2A7E"/>
    <w:rsid w:val="000D6650"/>
    <w:rsid w:val="000D6807"/>
    <w:rsid w:val="000E268E"/>
    <w:rsid w:val="000E3433"/>
    <w:rsid w:val="000E4DE0"/>
    <w:rsid w:val="000E5A13"/>
    <w:rsid w:val="000F3351"/>
    <w:rsid w:val="000F7447"/>
    <w:rsid w:val="000F7521"/>
    <w:rsid w:val="001041B8"/>
    <w:rsid w:val="00105E41"/>
    <w:rsid w:val="00106CA5"/>
    <w:rsid w:val="00110078"/>
    <w:rsid w:val="0011267C"/>
    <w:rsid w:val="001138B4"/>
    <w:rsid w:val="001172F8"/>
    <w:rsid w:val="0012313F"/>
    <w:rsid w:val="001256B7"/>
    <w:rsid w:val="00126BA7"/>
    <w:rsid w:val="001303EC"/>
    <w:rsid w:val="00131749"/>
    <w:rsid w:val="001365AD"/>
    <w:rsid w:val="00142532"/>
    <w:rsid w:val="00143792"/>
    <w:rsid w:val="001456F0"/>
    <w:rsid w:val="00151973"/>
    <w:rsid w:val="00153C00"/>
    <w:rsid w:val="00153F6E"/>
    <w:rsid w:val="001552C7"/>
    <w:rsid w:val="00156310"/>
    <w:rsid w:val="00157632"/>
    <w:rsid w:val="0016088A"/>
    <w:rsid w:val="00164C5F"/>
    <w:rsid w:val="00164CA5"/>
    <w:rsid w:val="0016571C"/>
    <w:rsid w:val="00165E2E"/>
    <w:rsid w:val="001677C8"/>
    <w:rsid w:val="00170E89"/>
    <w:rsid w:val="00173AF4"/>
    <w:rsid w:val="0017574D"/>
    <w:rsid w:val="001758A3"/>
    <w:rsid w:val="001769E6"/>
    <w:rsid w:val="00180E75"/>
    <w:rsid w:val="001817BA"/>
    <w:rsid w:val="00182B18"/>
    <w:rsid w:val="00183FD4"/>
    <w:rsid w:val="00186D0C"/>
    <w:rsid w:val="00186DFE"/>
    <w:rsid w:val="0019146E"/>
    <w:rsid w:val="00194993"/>
    <w:rsid w:val="00195315"/>
    <w:rsid w:val="00196A73"/>
    <w:rsid w:val="001A1353"/>
    <w:rsid w:val="001A1DC4"/>
    <w:rsid w:val="001A2568"/>
    <w:rsid w:val="001A4051"/>
    <w:rsid w:val="001A5FE2"/>
    <w:rsid w:val="001A627A"/>
    <w:rsid w:val="001A6E79"/>
    <w:rsid w:val="001A7840"/>
    <w:rsid w:val="001A7AD9"/>
    <w:rsid w:val="001A7B2D"/>
    <w:rsid w:val="001B01A9"/>
    <w:rsid w:val="001B1F2D"/>
    <w:rsid w:val="001B2F22"/>
    <w:rsid w:val="001B3318"/>
    <w:rsid w:val="001C14E4"/>
    <w:rsid w:val="001C3CDE"/>
    <w:rsid w:val="001C6482"/>
    <w:rsid w:val="001D2EA2"/>
    <w:rsid w:val="001D3353"/>
    <w:rsid w:val="001D3899"/>
    <w:rsid w:val="001D47A2"/>
    <w:rsid w:val="001D7E4F"/>
    <w:rsid w:val="001E1093"/>
    <w:rsid w:val="001E3122"/>
    <w:rsid w:val="001E591C"/>
    <w:rsid w:val="001E6676"/>
    <w:rsid w:val="001E66EE"/>
    <w:rsid w:val="001E795F"/>
    <w:rsid w:val="001E7BE0"/>
    <w:rsid w:val="001E7C6A"/>
    <w:rsid w:val="001F157D"/>
    <w:rsid w:val="001F3FC1"/>
    <w:rsid w:val="001F4ED5"/>
    <w:rsid w:val="001F4FD9"/>
    <w:rsid w:val="001F624C"/>
    <w:rsid w:val="001F7A92"/>
    <w:rsid w:val="001F7ACB"/>
    <w:rsid w:val="00201764"/>
    <w:rsid w:val="00204DAB"/>
    <w:rsid w:val="00206066"/>
    <w:rsid w:val="002077FB"/>
    <w:rsid w:val="00210CE0"/>
    <w:rsid w:val="00211335"/>
    <w:rsid w:val="002130CA"/>
    <w:rsid w:val="0021313E"/>
    <w:rsid w:val="00213322"/>
    <w:rsid w:val="00213676"/>
    <w:rsid w:val="00215753"/>
    <w:rsid w:val="002163B7"/>
    <w:rsid w:val="00216889"/>
    <w:rsid w:val="00220AE7"/>
    <w:rsid w:val="002211DC"/>
    <w:rsid w:val="00221976"/>
    <w:rsid w:val="00221DD4"/>
    <w:rsid w:val="00223B95"/>
    <w:rsid w:val="002273FA"/>
    <w:rsid w:val="00231E3A"/>
    <w:rsid w:val="0023292C"/>
    <w:rsid w:val="00232BEB"/>
    <w:rsid w:val="00233B4F"/>
    <w:rsid w:val="00234BDF"/>
    <w:rsid w:val="00236E11"/>
    <w:rsid w:val="00236F92"/>
    <w:rsid w:val="00237FE4"/>
    <w:rsid w:val="00240231"/>
    <w:rsid w:val="0024029D"/>
    <w:rsid w:val="00242090"/>
    <w:rsid w:val="00242FA7"/>
    <w:rsid w:val="002431D7"/>
    <w:rsid w:val="00244675"/>
    <w:rsid w:val="002456BE"/>
    <w:rsid w:val="00245716"/>
    <w:rsid w:val="00247BBE"/>
    <w:rsid w:val="002519A2"/>
    <w:rsid w:val="00253B28"/>
    <w:rsid w:val="00254006"/>
    <w:rsid w:val="002541AB"/>
    <w:rsid w:val="00256CBC"/>
    <w:rsid w:val="0026009F"/>
    <w:rsid w:val="002606EE"/>
    <w:rsid w:val="0026139F"/>
    <w:rsid w:val="00261EAE"/>
    <w:rsid w:val="0026395D"/>
    <w:rsid w:val="00265447"/>
    <w:rsid w:val="00267104"/>
    <w:rsid w:val="00271838"/>
    <w:rsid w:val="00272C61"/>
    <w:rsid w:val="00273159"/>
    <w:rsid w:val="00273ADA"/>
    <w:rsid w:val="00274E07"/>
    <w:rsid w:val="00275622"/>
    <w:rsid w:val="00277810"/>
    <w:rsid w:val="002779D7"/>
    <w:rsid w:val="00282270"/>
    <w:rsid w:val="00284004"/>
    <w:rsid w:val="0028413E"/>
    <w:rsid w:val="00286DC7"/>
    <w:rsid w:val="002875E5"/>
    <w:rsid w:val="00290570"/>
    <w:rsid w:val="00291987"/>
    <w:rsid w:val="00296F1F"/>
    <w:rsid w:val="002A0F7F"/>
    <w:rsid w:val="002A16CA"/>
    <w:rsid w:val="002A1C5D"/>
    <w:rsid w:val="002A206C"/>
    <w:rsid w:val="002A3AA0"/>
    <w:rsid w:val="002A5DBF"/>
    <w:rsid w:val="002A6716"/>
    <w:rsid w:val="002B43A2"/>
    <w:rsid w:val="002B4D29"/>
    <w:rsid w:val="002B786A"/>
    <w:rsid w:val="002B7FCB"/>
    <w:rsid w:val="002C0CE4"/>
    <w:rsid w:val="002C60F0"/>
    <w:rsid w:val="002C7AB0"/>
    <w:rsid w:val="002C7AC2"/>
    <w:rsid w:val="002D329A"/>
    <w:rsid w:val="002D40CE"/>
    <w:rsid w:val="002D63CE"/>
    <w:rsid w:val="002E64E2"/>
    <w:rsid w:val="002F79AE"/>
    <w:rsid w:val="003004D9"/>
    <w:rsid w:val="003008EF"/>
    <w:rsid w:val="00301B6B"/>
    <w:rsid w:val="00302C86"/>
    <w:rsid w:val="00302EB3"/>
    <w:rsid w:val="00305542"/>
    <w:rsid w:val="00306ABA"/>
    <w:rsid w:val="00307010"/>
    <w:rsid w:val="00307CE7"/>
    <w:rsid w:val="00310015"/>
    <w:rsid w:val="003124B7"/>
    <w:rsid w:val="003125A0"/>
    <w:rsid w:val="00315227"/>
    <w:rsid w:val="00316DD9"/>
    <w:rsid w:val="00317180"/>
    <w:rsid w:val="0032259B"/>
    <w:rsid w:val="00323F1D"/>
    <w:rsid w:val="00326A63"/>
    <w:rsid w:val="00326B43"/>
    <w:rsid w:val="003300E9"/>
    <w:rsid w:val="00331B63"/>
    <w:rsid w:val="0033218A"/>
    <w:rsid w:val="003335F6"/>
    <w:rsid w:val="00336FA7"/>
    <w:rsid w:val="003373ED"/>
    <w:rsid w:val="00347E83"/>
    <w:rsid w:val="00357AB5"/>
    <w:rsid w:val="003621C2"/>
    <w:rsid w:val="003622EB"/>
    <w:rsid w:val="00362388"/>
    <w:rsid w:val="003628E0"/>
    <w:rsid w:val="00363CDC"/>
    <w:rsid w:val="00364B3F"/>
    <w:rsid w:val="00366BCF"/>
    <w:rsid w:val="00370DF1"/>
    <w:rsid w:val="0037269C"/>
    <w:rsid w:val="00373955"/>
    <w:rsid w:val="00377AD5"/>
    <w:rsid w:val="00377D6C"/>
    <w:rsid w:val="00377F65"/>
    <w:rsid w:val="00381A37"/>
    <w:rsid w:val="00381ADF"/>
    <w:rsid w:val="0038260E"/>
    <w:rsid w:val="003835DC"/>
    <w:rsid w:val="00386F7E"/>
    <w:rsid w:val="003870AC"/>
    <w:rsid w:val="0038734B"/>
    <w:rsid w:val="003903EC"/>
    <w:rsid w:val="00390604"/>
    <w:rsid w:val="00391C63"/>
    <w:rsid w:val="00392937"/>
    <w:rsid w:val="003A17EF"/>
    <w:rsid w:val="003A3665"/>
    <w:rsid w:val="003B3078"/>
    <w:rsid w:val="003B49EB"/>
    <w:rsid w:val="003B6150"/>
    <w:rsid w:val="003B78BF"/>
    <w:rsid w:val="003C7A0B"/>
    <w:rsid w:val="003D0EDD"/>
    <w:rsid w:val="003D3C95"/>
    <w:rsid w:val="003D498C"/>
    <w:rsid w:val="003D4F78"/>
    <w:rsid w:val="003D5098"/>
    <w:rsid w:val="003D5475"/>
    <w:rsid w:val="003D66E6"/>
    <w:rsid w:val="003D7A7D"/>
    <w:rsid w:val="003E0B06"/>
    <w:rsid w:val="003E1F50"/>
    <w:rsid w:val="003E5DF5"/>
    <w:rsid w:val="003E6A16"/>
    <w:rsid w:val="003F0C4C"/>
    <w:rsid w:val="00400325"/>
    <w:rsid w:val="00405E28"/>
    <w:rsid w:val="00405ED7"/>
    <w:rsid w:val="00406187"/>
    <w:rsid w:val="004061FF"/>
    <w:rsid w:val="004065E5"/>
    <w:rsid w:val="00406FD9"/>
    <w:rsid w:val="004108C3"/>
    <w:rsid w:val="00410FFD"/>
    <w:rsid w:val="0041124E"/>
    <w:rsid w:val="00412DD2"/>
    <w:rsid w:val="0041311C"/>
    <w:rsid w:val="0041732F"/>
    <w:rsid w:val="00417BE1"/>
    <w:rsid w:val="004208E8"/>
    <w:rsid w:val="00421187"/>
    <w:rsid w:val="0042130A"/>
    <w:rsid w:val="00421A26"/>
    <w:rsid w:val="00421B2D"/>
    <w:rsid w:val="004267F7"/>
    <w:rsid w:val="004325F7"/>
    <w:rsid w:val="00432BC7"/>
    <w:rsid w:val="00436782"/>
    <w:rsid w:val="0043727E"/>
    <w:rsid w:val="00442487"/>
    <w:rsid w:val="00442A1E"/>
    <w:rsid w:val="00443176"/>
    <w:rsid w:val="004438FD"/>
    <w:rsid w:val="004447CF"/>
    <w:rsid w:val="00446922"/>
    <w:rsid w:val="004508AD"/>
    <w:rsid w:val="00451C97"/>
    <w:rsid w:val="0045235F"/>
    <w:rsid w:val="0045260C"/>
    <w:rsid w:val="004533C2"/>
    <w:rsid w:val="00453ABC"/>
    <w:rsid w:val="004560B3"/>
    <w:rsid w:val="00462E26"/>
    <w:rsid w:val="00463026"/>
    <w:rsid w:val="00464E19"/>
    <w:rsid w:val="00470188"/>
    <w:rsid w:val="0047052D"/>
    <w:rsid w:val="00471531"/>
    <w:rsid w:val="00473896"/>
    <w:rsid w:val="0047568E"/>
    <w:rsid w:val="00476F9C"/>
    <w:rsid w:val="00480968"/>
    <w:rsid w:val="00481A7F"/>
    <w:rsid w:val="00481C34"/>
    <w:rsid w:val="00481D81"/>
    <w:rsid w:val="00482FA4"/>
    <w:rsid w:val="004831A1"/>
    <w:rsid w:val="00483885"/>
    <w:rsid w:val="004857A1"/>
    <w:rsid w:val="00487647"/>
    <w:rsid w:val="00491B88"/>
    <w:rsid w:val="00491EEB"/>
    <w:rsid w:val="004921A2"/>
    <w:rsid w:val="0049540F"/>
    <w:rsid w:val="004962D8"/>
    <w:rsid w:val="004A0FFA"/>
    <w:rsid w:val="004A59E8"/>
    <w:rsid w:val="004A5E34"/>
    <w:rsid w:val="004A79FC"/>
    <w:rsid w:val="004A7C2E"/>
    <w:rsid w:val="004B0242"/>
    <w:rsid w:val="004B0E9D"/>
    <w:rsid w:val="004B1254"/>
    <w:rsid w:val="004B3535"/>
    <w:rsid w:val="004B5C37"/>
    <w:rsid w:val="004C4677"/>
    <w:rsid w:val="004C4683"/>
    <w:rsid w:val="004D0B07"/>
    <w:rsid w:val="004D0F58"/>
    <w:rsid w:val="004D2420"/>
    <w:rsid w:val="004D40D1"/>
    <w:rsid w:val="004E40B1"/>
    <w:rsid w:val="004E43BD"/>
    <w:rsid w:val="004E4553"/>
    <w:rsid w:val="004E5621"/>
    <w:rsid w:val="004F1E90"/>
    <w:rsid w:val="004F22A5"/>
    <w:rsid w:val="004F67D3"/>
    <w:rsid w:val="00510F9C"/>
    <w:rsid w:val="00511174"/>
    <w:rsid w:val="00512BD8"/>
    <w:rsid w:val="00513F7C"/>
    <w:rsid w:val="0051446B"/>
    <w:rsid w:val="005168D5"/>
    <w:rsid w:val="005235A4"/>
    <w:rsid w:val="005251B0"/>
    <w:rsid w:val="005317E9"/>
    <w:rsid w:val="00532262"/>
    <w:rsid w:val="00533D0D"/>
    <w:rsid w:val="0053671C"/>
    <w:rsid w:val="0053699E"/>
    <w:rsid w:val="005373C6"/>
    <w:rsid w:val="005401CF"/>
    <w:rsid w:val="00540792"/>
    <w:rsid w:val="005433B8"/>
    <w:rsid w:val="005465F7"/>
    <w:rsid w:val="00546CDB"/>
    <w:rsid w:val="005476A1"/>
    <w:rsid w:val="005527AD"/>
    <w:rsid w:val="00552D53"/>
    <w:rsid w:val="005538A6"/>
    <w:rsid w:val="0055416E"/>
    <w:rsid w:val="00554297"/>
    <w:rsid w:val="00554F37"/>
    <w:rsid w:val="00555485"/>
    <w:rsid w:val="00555B3E"/>
    <w:rsid w:val="005575B1"/>
    <w:rsid w:val="005634D3"/>
    <w:rsid w:val="00563638"/>
    <w:rsid w:val="00564054"/>
    <w:rsid w:val="005641F0"/>
    <w:rsid w:val="00566B4C"/>
    <w:rsid w:val="00572C4C"/>
    <w:rsid w:val="00573A75"/>
    <w:rsid w:val="00574056"/>
    <w:rsid w:val="00576091"/>
    <w:rsid w:val="0058366A"/>
    <w:rsid w:val="00591B7C"/>
    <w:rsid w:val="00594C19"/>
    <w:rsid w:val="0059529C"/>
    <w:rsid w:val="00595EE3"/>
    <w:rsid w:val="00596782"/>
    <w:rsid w:val="00597D0C"/>
    <w:rsid w:val="005A0788"/>
    <w:rsid w:val="005A0B3E"/>
    <w:rsid w:val="005A172B"/>
    <w:rsid w:val="005A1749"/>
    <w:rsid w:val="005A235C"/>
    <w:rsid w:val="005B0CD8"/>
    <w:rsid w:val="005B1AB2"/>
    <w:rsid w:val="005B3864"/>
    <w:rsid w:val="005B3D38"/>
    <w:rsid w:val="005B5E1B"/>
    <w:rsid w:val="005C129B"/>
    <w:rsid w:val="005C13CF"/>
    <w:rsid w:val="005D24A4"/>
    <w:rsid w:val="005D285A"/>
    <w:rsid w:val="005D467D"/>
    <w:rsid w:val="005D7296"/>
    <w:rsid w:val="005E0D38"/>
    <w:rsid w:val="005E24A8"/>
    <w:rsid w:val="005E3DCE"/>
    <w:rsid w:val="005E596E"/>
    <w:rsid w:val="005E5CA7"/>
    <w:rsid w:val="005F02CA"/>
    <w:rsid w:val="005F2678"/>
    <w:rsid w:val="005F3B50"/>
    <w:rsid w:val="005F6130"/>
    <w:rsid w:val="00602024"/>
    <w:rsid w:val="00602E20"/>
    <w:rsid w:val="00606A55"/>
    <w:rsid w:val="00606E98"/>
    <w:rsid w:val="00607944"/>
    <w:rsid w:val="00607E24"/>
    <w:rsid w:val="00611283"/>
    <w:rsid w:val="006126D4"/>
    <w:rsid w:val="0061426F"/>
    <w:rsid w:val="00614B21"/>
    <w:rsid w:val="00614DB8"/>
    <w:rsid w:val="0061551C"/>
    <w:rsid w:val="00616307"/>
    <w:rsid w:val="00616BE7"/>
    <w:rsid w:val="00617B4E"/>
    <w:rsid w:val="0062586C"/>
    <w:rsid w:val="00627018"/>
    <w:rsid w:val="006313AB"/>
    <w:rsid w:val="00631E13"/>
    <w:rsid w:val="00633517"/>
    <w:rsid w:val="00633701"/>
    <w:rsid w:val="006347A5"/>
    <w:rsid w:val="00634B26"/>
    <w:rsid w:val="006373A0"/>
    <w:rsid w:val="006402CB"/>
    <w:rsid w:val="0064105F"/>
    <w:rsid w:val="006444A1"/>
    <w:rsid w:val="00646056"/>
    <w:rsid w:val="006462EE"/>
    <w:rsid w:val="00652298"/>
    <w:rsid w:val="006540CA"/>
    <w:rsid w:val="00654638"/>
    <w:rsid w:val="00656454"/>
    <w:rsid w:val="0066007B"/>
    <w:rsid w:val="006627E4"/>
    <w:rsid w:val="00664D04"/>
    <w:rsid w:val="006663BA"/>
    <w:rsid w:val="00670652"/>
    <w:rsid w:val="00670ECD"/>
    <w:rsid w:val="00671184"/>
    <w:rsid w:val="00673D32"/>
    <w:rsid w:val="00675067"/>
    <w:rsid w:val="006778D0"/>
    <w:rsid w:val="00680547"/>
    <w:rsid w:val="006833AF"/>
    <w:rsid w:val="006834A7"/>
    <w:rsid w:val="00686F43"/>
    <w:rsid w:val="006907A1"/>
    <w:rsid w:val="00692638"/>
    <w:rsid w:val="0069369E"/>
    <w:rsid w:val="006940AB"/>
    <w:rsid w:val="00694BE4"/>
    <w:rsid w:val="00696103"/>
    <w:rsid w:val="006975FA"/>
    <w:rsid w:val="006A0378"/>
    <w:rsid w:val="006A1650"/>
    <w:rsid w:val="006A3BE5"/>
    <w:rsid w:val="006A71E0"/>
    <w:rsid w:val="006A77A7"/>
    <w:rsid w:val="006A7C6E"/>
    <w:rsid w:val="006B0075"/>
    <w:rsid w:val="006B0785"/>
    <w:rsid w:val="006B133B"/>
    <w:rsid w:val="006B13A8"/>
    <w:rsid w:val="006B13D2"/>
    <w:rsid w:val="006B35C4"/>
    <w:rsid w:val="006B3B24"/>
    <w:rsid w:val="006B677A"/>
    <w:rsid w:val="006B6AEA"/>
    <w:rsid w:val="006B700F"/>
    <w:rsid w:val="006B71A7"/>
    <w:rsid w:val="006C1925"/>
    <w:rsid w:val="006C2A73"/>
    <w:rsid w:val="006C3129"/>
    <w:rsid w:val="006C497B"/>
    <w:rsid w:val="006C590B"/>
    <w:rsid w:val="006C5D75"/>
    <w:rsid w:val="006C7009"/>
    <w:rsid w:val="006C7F67"/>
    <w:rsid w:val="006D037F"/>
    <w:rsid w:val="006D24FB"/>
    <w:rsid w:val="006D595D"/>
    <w:rsid w:val="006D6567"/>
    <w:rsid w:val="006D79A8"/>
    <w:rsid w:val="006D7F38"/>
    <w:rsid w:val="006E0631"/>
    <w:rsid w:val="006E177F"/>
    <w:rsid w:val="006E1E8E"/>
    <w:rsid w:val="006E3D79"/>
    <w:rsid w:val="006E56C9"/>
    <w:rsid w:val="006F1037"/>
    <w:rsid w:val="006F108C"/>
    <w:rsid w:val="006F13EF"/>
    <w:rsid w:val="006F13FF"/>
    <w:rsid w:val="006F1A0C"/>
    <w:rsid w:val="006F1A14"/>
    <w:rsid w:val="006F22F5"/>
    <w:rsid w:val="006F403F"/>
    <w:rsid w:val="006F6492"/>
    <w:rsid w:val="006F64DD"/>
    <w:rsid w:val="006F7C7E"/>
    <w:rsid w:val="006F7F09"/>
    <w:rsid w:val="0070352B"/>
    <w:rsid w:val="0071059C"/>
    <w:rsid w:val="00714731"/>
    <w:rsid w:val="00715F07"/>
    <w:rsid w:val="00717C03"/>
    <w:rsid w:val="00721441"/>
    <w:rsid w:val="0072316C"/>
    <w:rsid w:val="007232AF"/>
    <w:rsid w:val="00723869"/>
    <w:rsid w:val="007248B7"/>
    <w:rsid w:val="00727831"/>
    <w:rsid w:val="007337F4"/>
    <w:rsid w:val="00733F90"/>
    <w:rsid w:val="007364B9"/>
    <w:rsid w:val="007366EE"/>
    <w:rsid w:val="00743271"/>
    <w:rsid w:val="00745423"/>
    <w:rsid w:val="0074646C"/>
    <w:rsid w:val="007506F8"/>
    <w:rsid w:val="00750D4E"/>
    <w:rsid w:val="00750F10"/>
    <w:rsid w:val="00760607"/>
    <w:rsid w:val="007612E3"/>
    <w:rsid w:val="007619A5"/>
    <w:rsid w:val="00762934"/>
    <w:rsid w:val="00763B74"/>
    <w:rsid w:val="00766FD1"/>
    <w:rsid w:val="00771CED"/>
    <w:rsid w:val="00773375"/>
    <w:rsid w:val="007779A3"/>
    <w:rsid w:val="0078128C"/>
    <w:rsid w:val="00782A75"/>
    <w:rsid w:val="00783A78"/>
    <w:rsid w:val="00784276"/>
    <w:rsid w:val="00784D46"/>
    <w:rsid w:val="00786975"/>
    <w:rsid w:val="00790FEB"/>
    <w:rsid w:val="007923D6"/>
    <w:rsid w:val="00796A8A"/>
    <w:rsid w:val="007A084B"/>
    <w:rsid w:val="007A120C"/>
    <w:rsid w:val="007A17EC"/>
    <w:rsid w:val="007A237A"/>
    <w:rsid w:val="007A5192"/>
    <w:rsid w:val="007A7CC3"/>
    <w:rsid w:val="007B0D57"/>
    <w:rsid w:val="007B10C7"/>
    <w:rsid w:val="007B3479"/>
    <w:rsid w:val="007B398B"/>
    <w:rsid w:val="007B5E71"/>
    <w:rsid w:val="007C0CE0"/>
    <w:rsid w:val="007C1F8A"/>
    <w:rsid w:val="007C32FC"/>
    <w:rsid w:val="007C3CFD"/>
    <w:rsid w:val="007C3E14"/>
    <w:rsid w:val="007C54E4"/>
    <w:rsid w:val="007C6DD2"/>
    <w:rsid w:val="007D0523"/>
    <w:rsid w:val="007D2408"/>
    <w:rsid w:val="007D2482"/>
    <w:rsid w:val="007D277C"/>
    <w:rsid w:val="007D2FFB"/>
    <w:rsid w:val="007D6B00"/>
    <w:rsid w:val="007E17A5"/>
    <w:rsid w:val="007E3B0F"/>
    <w:rsid w:val="007E43A3"/>
    <w:rsid w:val="007F0570"/>
    <w:rsid w:val="007F1AC3"/>
    <w:rsid w:val="007F5A76"/>
    <w:rsid w:val="007F66C2"/>
    <w:rsid w:val="007F6AD1"/>
    <w:rsid w:val="007F6E93"/>
    <w:rsid w:val="007F7A79"/>
    <w:rsid w:val="0080149F"/>
    <w:rsid w:val="00804583"/>
    <w:rsid w:val="008050F7"/>
    <w:rsid w:val="00807220"/>
    <w:rsid w:val="008074C7"/>
    <w:rsid w:val="00807FD8"/>
    <w:rsid w:val="008112C0"/>
    <w:rsid w:val="0081387F"/>
    <w:rsid w:val="00817A37"/>
    <w:rsid w:val="00823180"/>
    <w:rsid w:val="008261F6"/>
    <w:rsid w:val="008275CC"/>
    <w:rsid w:val="00830638"/>
    <w:rsid w:val="00830F16"/>
    <w:rsid w:val="00831CBE"/>
    <w:rsid w:val="0083526A"/>
    <w:rsid w:val="0083679F"/>
    <w:rsid w:val="008428DF"/>
    <w:rsid w:val="00842C8E"/>
    <w:rsid w:val="00843E43"/>
    <w:rsid w:val="00846E81"/>
    <w:rsid w:val="00852301"/>
    <w:rsid w:val="00852627"/>
    <w:rsid w:val="00853B46"/>
    <w:rsid w:val="00855B7A"/>
    <w:rsid w:val="00856369"/>
    <w:rsid w:val="00857669"/>
    <w:rsid w:val="008614C8"/>
    <w:rsid w:val="00862353"/>
    <w:rsid w:val="00866861"/>
    <w:rsid w:val="00866D7E"/>
    <w:rsid w:val="008672F9"/>
    <w:rsid w:val="00872DE6"/>
    <w:rsid w:val="00875360"/>
    <w:rsid w:val="008765D5"/>
    <w:rsid w:val="00877B0F"/>
    <w:rsid w:val="00881FAE"/>
    <w:rsid w:val="008824E1"/>
    <w:rsid w:val="00882715"/>
    <w:rsid w:val="00882FDF"/>
    <w:rsid w:val="00883805"/>
    <w:rsid w:val="00883A0D"/>
    <w:rsid w:val="0088535E"/>
    <w:rsid w:val="008857E8"/>
    <w:rsid w:val="00886FBA"/>
    <w:rsid w:val="00887845"/>
    <w:rsid w:val="00890E9A"/>
    <w:rsid w:val="00892A1A"/>
    <w:rsid w:val="00896321"/>
    <w:rsid w:val="00896D96"/>
    <w:rsid w:val="008A03A4"/>
    <w:rsid w:val="008A3CE1"/>
    <w:rsid w:val="008A3D13"/>
    <w:rsid w:val="008A6CA9"/>
    <w:rsid w:val="008A768E"/>
    <w:rsid w:val="008B3D7B"/>
    <w:rsid w:val="008B5C48"/>
    <w:rsid w:val="008B6138"/>
    <w:rsid w:val="008C27DD"/>
    <w:rsid w:val="008C3067"/>
    <w:rsid w:val="008C3A50"/>
    <w:rsid w:val="008D08B2"/>
    <w:rsid w:val="008D1173"/>
    <w:rsid w:val="008D262D"/>
    <w:rsid w:val="008D476B"/>
    <w:rsid w:val="008E05D2"/>
    <w:rsid w:val="008E7A91"/>
    <w:rsid w:val="008F0080"/>
    <w:rsid w:val="008F1C12"/>
    <w:rsid w:val="008F280B"/>
    <w:rsid w:val="008F44FD"/>
    <w:rsid w:val="008F4A36"/>
    <w:rsid w:val="0090010F"/>
    <w:rsid w:val="00900989"/>
    <w:rsid w:val="009010CB"/>
    <w:rsid w:val="009021A8"/>
    <w:rsid w:val="0091342A"/>
    <w:rsid w:val="00915743"/>
    <w:rsid w:val="00925838"/>
    <w:rsid w:val="00925ED3"/>
    <w:rsid w:val="00926735"/>
    <w:rsid w:val="00927D5D"/>
    <w:rsid w:val="00930394"/>
    <w:rsid w:val="0093117A"/>
    <w:rsid w:val="00931D18"/>
    <w:rsid w:val="00935088"/>
    <w:rsid w:val="009357B3"/>
    <w:rsid w:val="0093643C"/>
    <w:rsid w:val="00941E3A"/>
    <w:rsid w:val="00943CAB"/>
    <w:rsid w:val="00950F3D"/>
    <w:rsid w:val="009512B1"/>
    <w:rsid w:val="009513FD"/>
    <w:rsid w:val="00951AF4"/>
    <w:rsid w:val="009544F4"/>
    <w:rsid w:val="00954ED0"/>
    <w:rsid w:val="00957B8C"/>
    <w:rsid w:val="00972EAE"/>
    <w:rsid w:val="00973DFC"/>
    <w:rsid w:val="009746A1"/>
    <w:rsid w:val="00974DD2"/>
    <w:rsid w:val="009778B7"/>
    <w:rsid w:val="0098004D"/>
    <w:rsid w:val="00980884"/>
    <w:rsid w:val="00982C26"/>
    <w:rsid w:val="00983266"/>
    <w:rsid w:val="00985843"/>
    <w:rsid w:val="00986DA4"/>
    <w:rsid w:val="00987768"/>
    <w:rsid w:val="009902FF"/>
    <w:rsid w:val="00993EBD"/>
    <w:rsid w:val="0099757D"/>
    <w:rsid w:val="00997AB2"/>
    <w:rsid w:val="009A09D4"/>
    <w:rsid w:val="009A1486"/>
    <w:rsid w:val="009A222B"/>
    <w:rsid w:val="009A3123"/>
    <w:rsid w:val="009A3BB8"/>
    <w:rsid w:val="009A3D4E"/>
    <w:rsid w:val="009A45D7"/>
    <w:rsid w:val="009A7885"/>
    <w:rsid w:val="009A7D8B"/>
    <w:rsid w:val="009B055F"/>
    <w:rsid w:val="009B1080"/>
    <w:rsid w:val="009B13F2"/>
    <w:rsid w:val="009B2F7F"/>
    <w:rsid w:val="009B4277"/>
    <w:rsid w:val="009B4C2F"/>
    <w:rsid w:val="009B4CC8"/>
    <w:rsid w:val="009B5C3B"/>
    <w:rsid w:val="009B66B9"/>
    <w:rsid w:val="009C2096"/>
    <w:rsid w:val="009C3751"/>
    <w:rsid w:val="009C5AD3"/>
    <w:rsid w:val="009D006D"/>
    <w:rsid w:val="009D345E"/>
    <w:rsid w:val="009D61FD"/>
    <w:rsid w:val="009D783B"/>
    <w:rsid w:val="009D7877"/>
    <w:rsid w:val="009E25BC"/>
    <w:rsid w:val="009E26F5"/>
    <w:rsid w:val="009E3034"/>
    <w:rsid w:val="009E391F"/>
    <w:rsid w:val="009E7149"/>
    <w:rsid w:val="009E746F"/>
    <w:rsid w:val="009E7EF2"/>
    <w:rsid w:val="009E7F40"/>
    <w:rsid w:val="009F3DF3"/>
    <w:rsid w:val="00A000DD"/>
    <w:rsid w:val="00A01680"/>
    <w:rsid w:val="00A030D1"/>
    <w:rsid w:val="00A03F24"/>
    <w:rsid w:val="00A05A8C"/>
    <w:rsid w:val="00A1002B"/>
    <w:rsid w:val="00A1294E"/>
    <w:rsid w:val="00A13D44"/>
    <w:rsid w:val="00A141E8"/>
    <w:rsid w:val="00A15D97"/>
    <w:rsid w:val="00A21DF6"/>
    <w:rsid w:val="00A2251F"/>
    <w:rsid w:val="00A2408E"/>
    <w:rsid w:val="00A2596D"/>
    <w:rsid w:val="00A25CEB"/>
    <w:rsid w:val="00A30342"/>
    <w:rsid w:val="00A322C6"/>
    <w:rsid w:val="00A32368"/>
    <w:rsid w:val="00A32C8E"/>
    <w:rsid w:val="00A3550E"/>
    <w:rsid w:val="00A361DE"/>
    <w:rsid w:val="00A41E62"/>
    <w:rsid w:val="00A429E2"/>
    <w:rsid w:val="00A437A1"/>
    <w:rsid w:val="00A51A64"/>
    <w:rsid w:val="00A52D7D"/>
    <w:rsid w:val="00A55F2A"/>
    <w:rsid w:val="00A562D6"/>
    <w:rsid w:val="00A56682"/>
    <w:rsid w:val="00A57515"/>
    <w:rsid w:val="00A57D53"/>
    <w:rsid w:val="00A658DE"/>
    <w:rsid w:val="00A7020D"/>
    <w:rsid w:val="00A716DF"/>
    <w:rsid w:val="00A73C7B"/>
    <w:rsid w:val="00A7474A"/>
    <w:rsid w:val="00A7552C"/>
    <w:rsid w:val="00A76A5F"/>
    <w:rsid w:val="00A8083C"/>
    <w:rsid w:val="00A809CE"/>
    <w:rsid w:val="00A80D1F"/>
    <w:rsid w:val="00A828E7"/>
    <w:rsid w:val="00A86F3C"/>
    <w:rsid w:val="00A92C1D"/>
    <w:rsid w:val="00A93080"/>
    <w:rsid w:val="00A933D0"/>
    <w:rsid w:val="00A95BB6"/>
    <w:rsid w:val="00AA061D"/>
    <w:rsid w:val="00AA3492"/>
    <w:rsid w:val="00AA3D40"/>
    <w:rsid w:val="00AA5CA4"/>
    <w:rsid w:val="00AA5DC4"/>
    <w:rsid w:val="00AA783D"/>
    <w:rsid w:val="00AA7992"/>
    <w:rsid w:val="00AB07DA"/>
    <w:rsid w:val="00AB2931"/>
    <w:rsid w:val="00AB3265"/>
    <w:rsid w:val="00AB3399"/>
    <w:rsid w:val="00AB4CD6"/>
    <w:rsid w:val="00AC4EB0"/>
    <w:rsid w:val="00AC715E"/>
    <w:rsid w:val="00AD1E82"/>
    <w:rsid w:val="00AD2204"/>
    <w:rsid w:val="00AD34BB"/>
    <w:rsid w:val="00AD3D83"/>
    <w:rsid w:val="00AD3F02"/>
    <w:rsid w:val="00AD4578"/>
    <w:rsid w:val="00AD57FC"/>
    <w:rsid w:val="00AD6254"/>
    <w:rsid w:val="00AE0ED2"/>
    <w:rsid w:val="00AE2993"/>
    <w:rsid w:val="00AE30DE"/>
    <w:rsid w:val="00AE40C4"/>
    <w:rsid w:val="00AE40ED"/>
    <w:rsid w:val="00AE49A9"/>
    <w:rsid w:val="00AE590B"/>
    <w:rsid w:val="00AE6432"/>
    <w:rsid w:val="00AF0DC6"/>
    <w:rsid w:val="00AF1E0D"/>
    <w:rsid w:val="00AF248F"/>
    <w:rsid w:val="00AF34C1"/>
    <w:rsid w:val="00AF6805"/>
    <w:rsid w:val="00AF7A00"/>
    <w:rsid w:val="00B0023C"/>
    <w:rsid w:val="00B0109F"/>
    <w:rsid w:val="00B01486"/>
    <w:rsid w:val="00B01BDB"/>
    <w:rsid w:val="00B03AC5"/>
    <w:rsid w:val="00B04923"/>
    <w:rsid w:val="00B049C8"/>
    <w:rsid w:val="00B05E15"/>
    <w:rsid w:val="00B124C3"/>
    <w:rsid w:val="00B132A8"/>
    <w:rsid w:val="00B13ED2"/>
    <w:rsid w:val="00B14727"/>
    <w:rsid w:val="00B14BEE"/>
    <w:rsid w:val="00B159CC"/>
    <w:rsid w:val="00B16C38"/>
    <w:rsid w:val="00B22536"/>
    <w:rsid w:val="00B2285E"/>
    <w:rsid w:val="00B30388"/>
    <w:rsid w:val="00B32872"/>
    <w:rsid w:val="00B330B5"/>
    <w:rsid w:val="00B34447"/>
    <w:rsid w:val="00B4127B"/>
    <w:rsid w:val="00B41817"/>
    <w:rsid w:val="00B4444B"/>
    <w:rsid w:val="00B451D3"/>
    <w:rsid w:val="00B50B21"/>
    <w:rsid w:val="00B53646"/>
    <w:rsid w:val="00B54EEC"/>
    <w:rsid w:val="00B55C12"/>
    <w:rsid w:val="00B56662"/>
    <w:rsid w:val="00B57000"/>
    <w:rsid w:val="00B57A93"/>
    <w:rsid w:val="00B57E12"/>
    <w:rsid w:val="00B57F61"/>
    <w:rsid w:val="00B636B5"/>
    <w:rsid w:val="00B65488"/>
    <w:rsid w:val="00B65E10"/>
    <w:rsid w:val="00B66775"/>
    <w:rsid w:val="00B67724"/>
    <w:rsid w:val="00B677FF"/>
    <w:rsid w:val="00B70037"/>
    <w:rsid w:val="00B700BE"/>
    <w:rsid w:val="00B71ADB"/>
    <w:rsid w:val="00B7455C"/>
    <w:rsid w:val="00B816DA"/>
    <w:rsid w:val="00B81A70"/>
    <w:rsid w:val="00B81B3F"/>
    <w:rsid w:val="00B839F5"/>
    <w:rsid w:val="00B8455A"/>
    <w:rsid w:val="00B8485D"/>
    <w:rsid w:val="00B85048"/>
    <w:rsid w:val="00B90B92"/>
    <w:rsid w:val="00B91FB6"/>
    <w:rsid w:val="00B92FCE"/>
    <w:rsid w:val="00B96F8A"/>
    <w:rsid w:val="00BB0CE5"/>
    <w:rsid w:val="00BB1B3A"/>
    <w:rsid w:val="00BB1B5C"/>
    <w:rsid w:val="00BB205A"/>
    <w:rsid w:val="00BB4628"/>
    <w:rsid w:val="00BB4A37"/>
    <w:rsid w:val="00BB5AE8"/>
    <w:rsid w:val="00BB5DB6"/>
    <w:rsid w:val="00BB767A"/>
    <w:rsid w:val="00BC0ACA"/>
    <w:rsid w:val="00BC0DBC"/>
    <w:rsid w:val="00BC2BD4"/>
    <w:rsid w:val="00BC466E"/>
    <w:rsid w:val="00BC50C1"/>
    <w:rsid w:val="00BC6DE5"/>
    <w:rsid w:val="00BC792A"/>
    <w:rsid w:val="00BD042C"/>
    <w:rsid w:val="00BD4606"/>
    <w:rsid w:val="00BD4BC3"/>
    <w:rsid w:val="00BD4DB2"/>
    <w:rsid w:val="00BD6971"/>
    <w:rsid w:val="00BD6AB8"/>
    <w:rsid w:val="00BD6C8E"/>
    <w:rsid w:val="00BD7693"/>
    <w:rsid w:val="00BE04A5"/>
    <w:rsid w:val="00BE0835"/>
    <w:rsid w:val="00BE2E12"/>
    <w:rsid w:val="00BE4A57"/>
    <w:rsid w:val="00BE736F"/>
    <w:rsid w:val="00BF0EA4"/>
    <w:rsid w:val="00BF19A5"/>
    <w:rsid w:val="00BF5937"/>
    <w:rsid w:val="00BF5DB6"/>
    <w:rsid w:val="00BF78C5"/>
    <w:rsid w:val="00C00C54"/>
    <w:rsid w:val="00C0210F"/>
    <w:rsid w:val="00C05C34"/>
    <w:rsid w:val="00C11608"/>
    <w:rsid w:val="00C14074"/>
    <w:rsid w:val="00C164C4"/>
    <w:rsid w:val="00C236E6"/>
    <w:rsid w:val="00C24AF8"/>
    <w:rsid w:val="00C301BE"/>
    <w:rsid w:val="00C30DC1"/>
    <w:rsid w:val="00C317DF"/>
    <w:rsid w:val="00C32CAE"/>
    <w:rsid w:val="00C36C15"/>
    <w:rsid w:val="00C377F4"/>
    <w:rsid w:val="00C37F1A"/>
    <w:rsid w:val="00C40353"/>
    <w:rsid w:val="00C44AA4"/>
    <w:rsid w:val="00C4575F"/>
    <w:rsid w:val="00C469A2"/>
    <w:rsid w:val="00C477CB"/>
    <w:rsid w:val="00C51C68"/>
    <w:rsid w:val="00C51FCC"/>
    <w:rsid w:val="00C5219B"/>
    <w:rsid w:val="00C54307"/>
    <w:rsid w:val="00C54CD2"/>
    <w:rsid w:val="00C556A1"/>
    <w:rsid w:val="00C60D5C"/>
    <w:rsid w:val="00C62BD9"/>
    <w:rsid w:val="00C649C6"/>
    <w:rsid w:val="00C64AB4"/>
    <w:rsid w:val="00C64E97"/>
    <w:rsid w:val="00C70F92"/>
    <w:rsid w:val="00C76647"/>
    <w:rsid w:val="00C76EDD"/>
    <w:rsid w:val="00C81C0D"/>
    <w:rsid w:val="00C8253C"/>
    <w:rsid w:val="00C826A6"/>
    <w:rsid w:val="00C83540"/>
    <w:rsid w:val="00C86DCD"/>
    <w:rsid w:val="00C9129D"/>
    <w:rsid w:val="00C9349B"/>
    <w:rsid w:val="00CA1F47"/>
    <w:rsid w:val="00CA3154"/>
    <w:rsid w:val="00CA767F"/>
    <w:rsid w:val="00CB1889"/>
    <w:rsid w:val="00CB27E6"/>
    <w:rsid w:val="00CB2A32"/>
    <w:rsid w:val="00CB2BBF"/>
    <w:rsid w:val="00CB4798"/>
    <w:rsid w:val="00CB4A57"/>
    <w:rsid w:val="00CB5146"/>
    <w:rsid w:val="00CB5DA2"/>
    <w:rsid w:val="00CC0620"/>
    <w:rsid w:val="00CC2497"/>
    <w:rsid w:val="00CC3B3A"/>
    <w:rsid w:val="00CC5676"/>
    <w:rsid w:val="00CC6F00"/>
    <w:rsid w:val="00CC6F10"/>
    <w:rsid w:val="00CD43C8"/>
    <w:rsid w:val="00CD6F70"/>
    <w:rsid w:val="00CD7CA7"/>
    <w:rsid w:val="00CE281D"/>
    <w:rsid w:val="00CE2A75"/>
    <w:rsid w:val="00CE4BE9"/>
    <w:rsid w:val="00CE7F56"/>
    <w:rsid w:val="00CF2095"/>
    <w:rsid w:val="00CF21B0"/>
    <w:rsid w:val="00CF23D8"/>
    <w:rsid w:val="00CF5B03"/>
    <w:rsid w:val="00D02945"/>
    <w:rsid w:val="00D03700"/>
    <w:rsid w:val="00D102E6"/>
    <w:rsid w:val="00D105DA"/>
    <w:rsid w:val="00D14286"/>
    <w:rsid w:val="00D145F6"/>
    <w:rsid w:val="00D14B48"/>
    <w:rsid w:val="00D16946"/>
    <w:rsid w:val="00D213B0"/>
    <w:rsid w:val="00D215C4"/>
    <w:rsid w:val="00D21C65"/>
    <w:rsid w:val="00D21FD2"/>
    <w:rsid w:val="00D22F62"/>
    <w:rsid w:val="00D264F3"/>
    <w:rsid w:val="00D27523"/>
    <w:rsid w:val="00D27823"/>
    <w:rsid w:val="00D315AA"/>
    <w:rsid w:val="00D31812"/>
    <w:rsid w:val="00D33837"/>
    <w:rsid w:val="00D34087"/>
    <w:rsid w:val="00D4199D"/>
    <w:rsid w:val="00D41AD7"/>
    <w:rsid w:val="00D4389C"/>
    <w:rsid w:val="00D46332"/>
    <w:rsid w:val="00D479D3"/>
    <w:rsid w:val="00D47E92"/>
    <w:rsid w:val="00D511EE"/>
    <w:rsid w:val="00D51582"/>
    <w:rsid w:val="00D54241"/>
    <w:rsid w:val="00D56029"/>
    <w:rsid w:val="00D5720E"/>
    <w:rsid w:val="00D572C9"/>
    <w:rsid w:val="00D61E12"/>
    <w:rsid w:val="00D704D7"/>
    <w:rsid w:val="00D713FE"/>
    <w:rsid w:val="00D720A3"/>
    <w:rsid w:val="00D74EFE"/>
    <w:rsid w:val="00D767E5"/>
    <w:rsid w:val="00D77892"/>
    <w:rsid w:val="00D823CF"/>
    <w:rsid w:val="00D84170"/>
    <w:rsid w:val="00D8456B"/>
    <w:rsid w:val="00D84E12"/>
    <w:rsid w:val="00D85CBB"/>
    <w:rsid w:val="00D860F7"/>
    <w:rsid w:val="00D876E2"/>
    <w:rsid w:val="00D9178A"/>
    <w:rsid w:val="00D935A4"/>
    <w:rsid w:val="00D93EAF"/>
    <w:rsid w:val="00D950EB"/>
    <w:rsid w:val="00D958F5"/>
    <w:rsid w:val="00D966A5"/>
    <w:rsid w:val="00DA0574"/>
    <w:rsid w:val="00DA0700"/>
    <w:rsid w:val="00DA167C"/>
    <w:rsid w:val="00DA315A"/>
    <w:rsid w:val="00DA6954"/>
    <w:rsid w:val="00DB3091"/>
    <w:rsid w:val="00DB363C"/>
    <w:rsid w:val="00DB4E2A"/>
    <w:rsid w:val="00DB61AA"/>
    <w:rsid w:val="00DB624B"/>
    <w:rsid w:val="00DB7A8E"/>
    <w:rsid w:val="00DC0386"/>
    <w:rsid w:val="00DC364E"/>
    <w:rsid w:val="00DC5626"/>
    <w:rsid w:val="00DC6463"/>
    <w:rsid w:val="00DD00DC"/>
    <w:rsid w:val="00DD1724"/>
    <w:rsid w:val="00DD27D7"/>
    <w:rsid w:val="00DD3531"/>
    <w:rsid w:val="00DD550E"/>
    <w:rsid w:val="00DE0CF2"/>
    <w:rsid w:val="00DE3804"/>
    <w:rsid w:val="00DE4F2C"/>
    <w:rsid w:val="00DE51BA"/>
    <w:rsid w:val="00DE6323"/>
    <w:rsid w:val="00DF1005"/>
    <w:rsid w:val="00DF3749"/>
    <w:rsid w:val="00DF3ABF"/>
    <w:rsid w:val="00DF4882"/>
    <w:rsid w:val="00E01910"/>
    <w:rsid w:val="00E01E96"/>
    <w:rsid w:val="00E062F4"/>
    <w:rsid w:val="00E06A64"/>
    <w:rsid w:val="00E06ED0"/>
    <w:rsid w:val="00E07B15"/>
    <w:rsid w:val="00E101A3"/>
    <w:rsid w:val="00E10558"/>
    <w:rsid w:val="00E13C7B"/>
    <w:rsid w:val="00E14D7F"/>
    <w:rsid w:val="00E14F19"/>
    <w:rsid w:val="00E153D7"/>
    <w:rsid w:val="00E165B0"/>
    <w:rsid w:val="00E167E5"/>
    <w:rsid w:val="00E16C35"/>
    <w:rsid w:val="00E1739A"/>
    <w:rsid w:val="00E17A39"/>
    <w:rsid w:val="00E17D69"/>
    <w:rsid w:val="00E21C5D"/>
    <w:rsid w:val="00E26815"/>
    <w:rsid w:val="00E27768"/>
    <w:rsid w:val="00E304F5"/>
    <w:rsid w:val="00E315B3"/>
    <w:rsid w:val="00E31709"/>
    <w:rsid w:val="00E318C1"/>
    <w:rsid w:val="00E32A09"/>
    <w:rsid w:val="00E372C3"/>
    <w:rsid w:val="00E376BE"/>
    <w:rsid w:val="00E4164D"/>
    <w:rsid w:val="00E4244C"/>
    <w:rsid w:val="00E43BF2"/>
    <w:rsid w:val="00E45C93"/>
    <w:rsid w:val="00E474A7"/>
    <w:rsid w:val="00E5056F"/>
    <w:rsid w:val="00E53F04"/>
    <w:rsid w:val="00E5678D"/>
    <w:rsid w:val="00E602AC"/>
    <w:rsid w:val="00E61D8D"/>
    <w:rsid w:val="00E6247B"/>
    <w:rsid w:val="00E645B9"/>
    <w:rsid w:val="00E64E37"/>
    <w:rsid w:val="00E70DC0"/>
    <w:rsid w:val="00E85B34"/>
    <w:rsid w:val="00E86AF7"/>
    <w:rsid w:val="00E9470C"/>
    <w:rsid w:val="00E94B93"/>
    <w:rsid w:val="00E95605"/>
    <w:rsid w:val="00E958C7"/>
    <w:rsid w:val="00EA136E"/>
    <w:rsid w:val="00EA280E"/>
    <w:rsid w:val="00EA2995"/>
    <w:rsid w:val="00EA2D31"/>
    <w:rsid w:val="00EA3F34"/>
    <w:rsid w:val="00EA70EA"/>
    <w:rsid w:val="00EB1018"/>
    <w:rsid w:val="00EB3A77"/>
    <w:rsid w:val="00EB3DF1"/>
    <w:rsid w:val="00EB6513"/>
    <w:rsid w:val="00EC3C88"/>
    <w:rsid w:val="00EC538A"/>
    <w:rsid w:val="00EC6F23"/>
    <w:rsid w:val="00ED25FE"/>
    <w:rsid w:val="00ED3529"/>
    <w:rsid w:val="00ED38FC"/>
    <w:rsid w:val="00ED60CB"/>
    <w:rsid w:val="00ED6EC4"/>
    <w:rsid w:val="00ED7F14"/>
    <w:rsid w:val="00EE4EB5"/>
    <w:rsid w:val="00EE667C"/>
    <w:rsid w:val="00EF0498"/>
    <w:rsid w:val="00EF30EA"/>
    <w:rsid w:val="00EF3C9F"/>
    <w:rsid w:val="00EF5C66"/>
    <w:rsid w:val="00EF62DE"/>
    <w:rsid w:val="00EF7F80"/>
    <w:rsid w:val="00F0120E"/>
    <w:rsid w:val="00F04FF2"/>
    <w:rsid w:val="00F1127F"/>
    <w:rsid w:val="00F14734"/>
    <w:rsid w:val="00F15A22"/>
    <w:rsid w:val="00F16F60"/>
    <w:rsid w:val="00F207B9"/>
    <w:rsid w:val="00F22C5F"/>
    <w:rsid w:val="00F240A4"/>
    <w:rsid w:val="00F24904"/>
    <w:rsid w:val="00F24A3A"/>
    <w:rsid w:val="00F270E3"/>
    <w:rsid w:val="00F27E35"/>
    <w:rsid w:val="00F320D7"/>
    <w:rsid w:val="00F32D5D"/>
    <w:rsid w:val="00F37213"/>
    <w:rsid w:val="00F41A80"/>
    <w:rsid w:val="00F431BB"/>
    <w:rsid w:val="00F45428"/>
    <w:rsid w:val="00F51C82"/>
    <w:rsid w:val="00F5221C"/>
    <w:rsid w:val="00F56199"/>
    <w:rsid w:val="00F5637E"/>
    <w:rsid w:val="00F56B38"/>
    <w:rsid w:val="00F62BFF"/>
    <w:rsid w:val="00F63938"/>
    <w:rsid w:val="00F63ED1"/>
    <w:rsid w:val="00F647F0"/>
    <w:rsid w:val="00F64DA4"/>
    <w:rsid w:val="00F65458"/>
    <w:rsid w:val="00F734A3"/>
    <w:rsid w:val="00F75669"/>
    <w:rsid w:val="00F77228"/>
    <w:rsid w:val="00F77C5F"/>
    <w:rsid w:val="00F80E62"/>
    <w:rsid w:val="00F80F92"/>
    <w:rsid w:val="00F82170"/>
    <w:rsid w:val="00F825BB"/>
    <w:rsid w:val="00F82E92"/>
    <w:rsid w:val="00F87425"/>
    <w:rsid w:val="00F91BD0"/>
    <w:rsid w:val="00F93FB3"/>
    <w:rsid w:val="00F9470A"/>
    <w:rsid w:val="00F96B34"/>
    <w:rsid w:val="00F973B3"/>
    <w:rsid w:val="00FA26A8"/>
    <w:rsid w:val="00FA2A3B"/>
    <w:rsid w:val="00FA511F"/>
    <w:rsid w:val="00FA6566"/>
    <w:rsid w:val="00FB0399"/>
    <w:rsid w:val="00FB0929"/>
    <w:rsid w:val="00FB0C23"/>
    <w:rsid w:val="00FB2B2E"/>
    <w:rsid w:val="00FB3891"/>
    <w:rsid w:val="00FB3E06"/>
    <w:rsid w:val="00FB4106"/>
    <w:rsid w:val="00FB4AEA"/>
    <w:rsid w:val="00FB564A"/>
    <w:rsid w:val="00FB78D8"/>
    <w:rsid w:val="00FB7DCC"/>
    <w:rsid w:val="00FC1D28"/>
    <w:rsid w:val="00FC3B28"/>
    <w:rsid w:val="00FC47CE"/>
    <w:rsid w:val="00FC5BC7"/>
    <w:rsid w:val="00FD21E9"/>
    <w:rsid w:val="00FD2642"/>
    <w:rsid w:val="00FD4065"/>
    <w:rsid w:val="00FE02E6"/>
    <w:rsid w:val="00FE055F"/>
    <w:rsid w:val="00FE1037"/>
    <w:rsid w:val="00FE3295"/>
    <w:rsid w:val="00FE3BB8"/>
    <w:rsid w:val="00FE6E3E"/>
    <w:rsid w:val="00FF67D9"/>
    <w:rsid w:val="4AD30ADF"/>
  </w:rsids>
  <m:mathPr>
    <m:mathFont m:val="Cambria Math"/>
    <m:brkBin m:val="before"/>
    <m:brkBinSub m:val="--"/>
    <m:smallFrac m:val="0"/>
    <m:dispDef m:val="0"/>
    <m:lMargin m:val="0"/>
    <m:rMargin m:val="0"/>
    <m:defJc m:val="centerGroup"/>
    <m:wrapRight/>
    <m:intLim m:val="subSup"/>
    <m:naryLim m:val="subSup"/>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653585D"/>
  <w15:docId w15:val="{5E98AA0F-CC73-47DE-8542-28660BFCD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val="en-US" w:eastAsia="en-US"/>
    </w:rPr>
  </w:style>
  <w:style w:type="paragraph" w:styleId="Heading1">
    <w:name w:val="heading 1"/>
    <w:basedOn w:val="Normal"/>
    <w:next w:val="Normal"/>
    <w:link w:val="Heading1Char"/>
    <w:uiPriority w:val="9"/>
    <w:qFormat/>
    <w:rsid w:val="00ED38FC"/>
    <w:pPr>
      <w:keepNext/>
      <w:spacing w:after="0" w:line="240" w:lineRule="auto"/>
      <w:jc w:val="center"/>
      <w:outlineLvl w:val="0"/>
    </w:pPr>
    <w:rPr>
      <w:rFonts w:ascii="Times New Roman" w:eastAsia="Times New Roman" w:hAnsi="Times New Roman"/>
      <w:b/>
      <w:bCs/>
      <w:sz w:val="24"/>
      <w:szCs w:val="24"/>
      <w:lang w:val="en-GB"/>
    </w:rPr>
  </w:style>
  <w:style w:type="paragraph" w:styleId="Heading2">
    <w:name w:val="heading 2"/>
    <w:basedOn w:val="Normal"/>
    <w:link w:val="Heading2Char"/>
    <w:uiPriority w:val="9"/>
    <w:unhideWhenUsed/>
    <w:qFormat/>
    <w:rsid w:val="00B124C3"/>
    <w:pPr>
      <w:widowControl w:val="0"/>
      <w:autoSpaceDE w:val="0"/>
      <w:autoSpaceDN w:val="0"/>
      <w:spacing w:after="0" w:line="240" w:lineRule="auto"/>
      <w:ind w:left="1512" w:right="644"/>
      <w:jc w:val="center"/>
      <w:outlineLvl w:val="1"/>
    </w:pPr>
    <w:rPr>
      <w:rFonts w:ascii="Arial" w:eastAsia="Arial" w:hAnsi="Arial" w:cs="Arial"/>
      <w:b/>
      <w:bCs/>
      <w:sz w:val="23"/>
      <w:szCs w:val="23"/>
    </w:rPr>
  </w:style>
  <w:style w:type="paragraph" w:styleId="Heading3">
    <w:name w:val="heading 3"/>
    <w:basedOn w:val="Normal"/>
    <w:next w:val="Normal"/>
    <w:link w:val="Heading3Char"/>
    <w:uiPriority w:val="9"/>
    <w:unhideWhenUsed/>
    <w:qFormat/>
    <w:rsid w:val="00ED38FC"/>
    <w:pPr>
      <w:keepNext/>
      <w:spacing w:before="240" w:after="60" w:line="240" w:lineRule="auto"/>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unhideWhenUsed/>
    <w:qFormat/>
    <w:rsid w:val="00AB07D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link w:val="Heading5Char"/>
    <w:uiPriority w:val="1"/>
    <w:semiHidden/>
    <w:unhideWhenUsed/>
    <w:qFormat/>
    <w:rsid w:val="00B124C3"/>
    <w:pPr>
      <w:widowControl w:val="0"/>
      <w:autoSpaceDE w:val="0"/>
      <w:autoSpaceDN w:val="0"/>
      <w:spacing w:after="0" w:line="240" w:lineRule="auto"/>
      <w:ind w:left="821"/>
      <w:outlineLvl w:val="4"/>
    </w:pPr>
    <w:rPr>
      <w:rFonts w:ascii="Arial" w:eastAsia="Arial" w:hAnsi="Arial" w:cs="Arial"/>
      <w:b/>
      <w:bCs/>
    </w:rPr>
  </w:style>
  <w:style w:type="paragraph" w:styleId="Heading6">
    <w:name w:val="heading 6"/>
    <w:basedOn w:val="Normal"/>
    <w:link w:val="Heading6Char"/>
    <w:semiHidden/>
    <w:unhideWhenUsed/>
    <w:qFormat/>
    <w:rsid w:val="00B124C3"/>
    <w:pPr>
      <w:widowControl w:val="0"/>
      <w:autoSpaceDE w:val="0"/>
      <w:autoSpaceDN w:val="0"/>
      <w:spacing w:after="0" w:line="240" w:lineRule="auto"/>
      <w:ind w:left="949" w:right="644"/>
      <w:jc w:val="center"/>
      <w:outlineLvl w:val="5"/>
    </w:pPr>
    <w:rPr>
      <w:rFonts w:ascii="Arial" w:eastAsia="Arial" w:hAnsi="Arial" w:cs="Arial"/>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sz w:val="16"/>
      <w:szCs w:val="16"/>
    </w:rPr>
  </w:style>
  <w:style w:type="paragraph" w:styleId="BodyText">
    <w:name w:val="Body Text"/>
    <w:basedOn w:val="Normal"/>
    <w:link w:val="BodyTextChar"/>
    <w:uiPriority w:val="99"/>
    <w:qFormat/>
    <w:pPr>
      <w:tabs>
        <w:tab w:val="right" w:pos="8640"/>
      </w:tabs>
      <w:spacing w:after="0" w:line="480" w:lineRule="auto"/>
      <w:ind w:firstLine="720"/>
    </w:pPr>
    <w:rPr>
      <w:rFonts w:ascii="Times New Roman" w:eastAsia="Times New Roman" w:hAnsi="Times New Roman"/>
      <w:sz w:val="24"/>
      <w:szCs w:val="24"/>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uiPriority w:val="99"/>
    <w:unhideWhenUsed/>
    <w:qFormat/>
    <w:rPr>
      <w:color w:val="0000FF"/>
      <w:u w:val="single"/>
    </w:rPr>
  </w:style>
  <w:style w:type="table" w:styleId="TableGrid">
    <w:name w:val="Table Grid"/>
    <w:basedOn w:val="TableNormal"/>
    <w:uiPriority w:val="3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Pr>
      <w:rFonts w:ascii="Calibri" w:eastAsia="Calibri" w:hAnsi="Calibri" w:cs="Times New Roman"/>
      <w:sz w:val="22"/>
      <w:szCs w:val="22"/>
      <w:lang w:val="en-US" w:eastAsia="en-US"/>
    </w:rPr>
  </w:style>
  <w:style w:type="character" w:customStyle="1" w:styleId="BalloonTextChar">
    <w:name w:val="Balloon Text Char"/>
    <w:basedOn w:val="DefaultParagraphFont"/>
    <w:link w:val="BalloonText"/>
    <w:uiPriority w:val="99"/>
    <w:semiHidden/>
    <w:qFormat/>
    <w:rPr>
      <w:rFonts w:ascii="Tahoma" w:eastAsia="Calibri" w:hAnsi="Tahoma" w:cs="Times New Roman"/>
      <w:sz w:val="16"/>
      <w:szCs w:val="16"/>
    </w:rPr>
  </w:style>
  <w:style w:type="character" w:customStyle="1" w:styleId="HeaderChar">
    <w:name w:val="Header Char"/>
    <w:basedOn w:val="DefaultParagraphFont"/>
    <w:link w:val="Header"/>
    <w:uiPriority w:val="99"/>
    <w:qFormat/>
    <w:rPr>
      <w:rFonts w:ascii="Calibri" w:eastAsia="Calibri" w:hAnsi="Calibri" w:cs="Times New Roman"/>
      <w:sz w:val="22"/>
      <w:szCs w:val="22"/>
    </w:rPr>
  </w:style>
  <w:style w:type="character" w:customStyle="1" w:styleId="FooterChar">
    <w:name w:val="Footer Char"/>
    <w:basedOn w:val="DefaultParagraphFont"/>
    <w:link w:val="Footer"/>
    <w:uiPriority w:val="99"/>
    <w:qFormat/>
    <w:rPr>
      <w:rFonts w:ascii="Calibri" w:eastAsia="Calibri" w:hAnsi="Calibri" w:cs="Times New Roman"/>
      <w:sz w:val="22"/>
      <w:szCs w:val="22"/>
    </w:rPr>
  </w:style>
  <w:style w:type="character" w:customStyle="1" w:styleId="BodyTextChar">
    <w:name w:val="Body Text Char"/>
    <w:basedOn w:val="DefaultParagraphFont"/>
    <w:link w:val="BodyText"/>
    <w:uiPriority w:val="99"/>
    <w:qFormat/>
    <w:rPr>
      <w:rFonts w:ascii="Times New Roman" w:eastAsia="Times New Roman" w:hAnsi="Times New Roman" w:cs="Times New Roman"/>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en-US" w:eastAsia="en-US"/>
    </w:rPr>
  </w:style>
  <w:style w:type="paragraph" w:customStyle="1" w:styleId="Normal1">
    <w:name w:val="Normal1"/>
    <w:qFormat/>
    <w:pPr>
      <w:spacing w:line="276" w:lineRule="auto"/>
    </w:pPr>
    <w:rPr>
      <w:rFonts w:ascii="Arial" w:eastAsia="Arial" w:hAnsi="Arial" w:cs="Arial"/>
      <w:color w:val="000000"/>
      <w:sz w:val="22"/>
      <w:szCs w:val="22"/>
      <w:lang w:val="ru-RU" w:eastAsia="ru-RU"/>
    </w:rPr>
  </w:style>
  <w:style w:type="paragraph" w:styleId="ListParagraph">
    <w:name w:val="List Paragraph"/>
    <w:aliases w:val="Body of text,Body of text+1,Body of text+2,Body of text+3,Body of text1,Body of text2,Colorful List - Accent 11,KEPALA 3,KEPALA 31,KEPALA 32,List Paragraph1,List Paragraph11,List Paragraph12,Medium Grid 1 - Accent 21,P1,kepala 1,kepala 11"/>
    <w:basedOn w:val="Normal"/>
    <w:link w:val="ListParagraphChar"/>
    <w:uiPriority w:val="34"/>
    <w:qFormat/>
    <w:pPr>
      <w:ind w:left="720"/>
      <w:contextualSpacing/>
    </w:p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E-JOURNALBody">
    <w:name w:val="E-JOURNAL_Body"/>
    <w:basedOn w:val="Normal"/>
    <w:qFormat/>
    <w:pPr>
      <w:spacing w:after="0" w:line="240" w:lineRule="auto"/>
      <w:ind w:firstLine="567"/>
      <w:jc w:val="both"/>
    </w:pPr>
    <w:rPr>
      <w:rFonts w:ascii="Times New Roman" w:eastAsia="SimSun" w:hAnsi="Times New Roman"/>
      <w:szCs w:val="24"/>
      <w:lang w:val="id-ID"/>
    </w:rPr>
  </w:style>
  <w:style w:type="character" w:customStyle="1" w:styleId="UnresolvedMention2">
    <w:name w:val="Unresolved Mention2"/>
    <w:basedOn w:val="DefaultParagraphFont"/>
    <w:uiPriority w:val="99"/>
    <w:semiHidden/>
    <w:unhideWhenUsed/>
    <w:rsid w:val="00C556A1"/>
    <w:rPr>
      <w:color w:val="605E5C"/>
      <w:shd w:val="clear" w:color="auto" w:fill="E1DFDD"/>
    </w:rPr>
  </w:style>
  <w:style w:type="paragraph" w:styleId="HTMLPreformatted">
    <w:name w:val="HTML Preformatted"/>
    <w:basedOn w:val="Normal"/>
    <w:link w:val="HTMLPreformattedChar"/>
    <w:uiPriority w:val="99"/>
    <w:unhideWhenUsed/>
    <w:rsid w:val="00AF7A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AF7A00"/>
    <w:rPr>
      <w:rFonts w:ascii="Courier New" w:eastAsia="Times New Roman" w:hAnsi="Courier New" w:cs="Courier New"/>
      <w:lang w:val="en-US" w:eastAsia="en-US"/>
    </w:rPr>
  </w:style>
  <w:style w:type="paragraph" w:styleId="Bibliography">
    <w:name w:val="Bibliography"/>
    <w:basedOn w:val="Normal"/>
    <w:next w:val="Normal"/>
    <w:uiPriority w:val="37"/>
    <w:unhideWhenUsed/>
    <w:rsid w:val="007612E3"/>
    <w:rPr>
      <w:rFonts w:asciiTheme="minorHAnsi" w:eastAsiaTheme="minorEastAsia" w:hAnsiTheme="minorHAnsi" w:cstheme="minorBidi"/>
      <w:lang w:val="id-ID" w:eastAsia="id-ID"/>
    </w:rPr>
  </w:style>
  <w:style w:type="character" w:styleId="FootnoteReference">
    <w:name w:val="footnote reference"/>
    <w:uiPriority w:val="99"/>
    <w:rsid w:val="00D860F7"/>
    <w:rPr>
      <w:vertAlign w:val="superscript"/>
    </w:rPr>
  </w:style>
  <w:style w:type="character" w:customStyle="1" w:styleId="Heading1Char">
    <w:name w:val="Heading 1 Char"/>
    <w:basedOn w:val="DefaultParagraphFont"/>
    <w:link w:val="Heading1"/>
    <w:uiPriority w:val="9"/>
    <w:rsid w:val="00ED38FC"/>
    <w:rPr>
      <w:rFonts w:ascii="Times New Roman" w:eastAsia="Times New Roman" w:hAnsi="Times New Roman" w:cs="Times New Roman"/>
      <w:b/>
      <w:bCs/>
      <w:sz w:val="24"/>
      <w:szCs w:val="24"/>
      <w:lang w:val="en-GB" w:eastAsia="en-US"/>
    </w:rPr>
  </w:style>
  <w:style w:type="character" w:customStyle="1" w:styleId="Heading3Char">
    <w:name w:val="Heading 3 Char"/>
    <w:basedOn w:val="DefaultParagraphFont"/>
    <w:link w:val="Heading3"/>
    <w:uiPriority w:val="9"/>
    <w:rsid w:val="00ED38FC"/>
    <w:rPr>
      <w:rFonts w:ascii="Calibri Light" w:eastAsia="Times New Roman" w:hAnsi="Calibri Light" w:cs="Times New Roman"/>
      <w:b/>
      <w:bCs/>
      <w:sz w:val="26"/>
      <w:szCs w:val="26"/>
      <w:lang w:val="en-US" w:eastAsia="en-US"/>
    </w:rPr>
  </w:style>
  <w:style w:type="character" w:styleId="PageNumber">
    <w:name w:val="page number"/>
    <w:basedOn w:val="DefaultParagraphFont"/>
    <w:rsid w:val="00ED38FC"/>
  </w:style>
  <w:style w:type="paragraph" w:styleId="TableofAuthorities">
    <w:name w:val="table of authorities"/>
    <w:basedOn w:val="Normal"/>
    <w:next w:val="Normal"/>
    <w:autoRedefine/>
    <w:rsid w:val="00ED38FC"/>
    <w:pPr>
      <w:spacing w:beforeLines="120" w:before="288" w:afterLines="120" w:after="288" w:line="240" w:lineRule="auto"/>
      <w:jc w:val="both"/>
    </w:pPr>
    <w:rPr>
      <w:rFonts w:ascii="Times New Roman" w:eastAsia="Batang" w:hAnsi="Times New Roman"/>
      <w:sz w:val="24"/>
      <w:szCs w:val="24"/>
      <w:lang w:val="tr-TR" w:eastAsia="ko-KR"/>
    </w:rPr>
  </w:style>
  <w:style w:type="paragraph" w:customStyle="1" w:styleId="Balk">
    <w:name w:val="Başlık"/>
    <w:basedOn w:val="Normal"/>
    <w:rsid w:val="00ED38FC"/>
    <w:pPr>
      <w:spacing w:before="120" w:after="0" w:line="252" w:lineRule="auto"/>
      <w:ind w:left="993" w:hanging="993"/>
      <w:jc w:val="both"/>
    </w:pPr>
    <w:rPr>
      <w:rFonts w:ascii="ElegaGarmnd BT" w:eastAsia="Times New Roman" w:hAnsi="ElegaGarmnd BT"/>
      <w:b/>
      <w:snapToGrid w:val="0"/>
      <w:sz w:val="23"/>
      <w:szCs w:val="20"/>
      <w:lang w:val="tr-TR" w:eastAsia="tr-TR"/>
    </w:rPr>
  </w:style>
  <w:style w:type="character" w:customStyle="1" w:styleId="y2iqfc">
    <w:name w:val="y2iqfc"/>
    <w:basedOn w:val="DefaultParagraphFont"/>
    <w:rsid w:val="00ED38FC"/>
  </w:style>
  <w:style w:type="paragraph" w:styleId="FootnoteText">
    <w:name w:val="footnote text"/>
    <w:basedOn w:val="Normal"/>
    <w:link w:val="FootnoteTextChar"/>
    <w:uiPriority w:val="99"/>
    <w:rsid w:val="00ED38FC"/>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ED38FC"/>
    <w:rPr>
      <w:rFonts w:ascii="Times New Roman" w:eastAsia="Times New Roman" w:hAnsi="Times New Roman" w:cs="Times New Roman"/>
      <w:lang w:val="en-US" w:eastAsia="en-US"/>
    </w:rPr>
  </w:style>
  <w:style w:type="paragraph" w:styleId="Caption">
    <w:name w:val="caption"/>
    <w:basedOn w:val="Normal"/>
    <w:next w:val="Normal"/>
    <w:uiPriority w:val="35"/>
    <w:unhideWhenUsed/>
    <w:qFormat/>
    <w:rsid w:val="00ED38FC"/>
    <w:pPr>
      <w:spacing w:line="240" w:lineRule="auto"/>
    </w:pPr>
    <w:rPr>
      <w:rFonts w:eastAsia="Times New Roman"/>
      <w:b/>
      <w:bCs/>
      <w:color w:val="4F81BD"/>
      <w:sz w:val="18"/>
      <w:szCs w:val="18"/>
    </w:rPr>
  </w:style>
  <w:style w:type="paragraph" w:customStyle="1" w:styleId="Alishlah31text">
    <w:name w:val="Alishlah_3.1_text"/>
    <w:qFormat/>
    <w:rsid w:val="00ED38FC"/>
    <w:pPr>
      <w:adjustRightInd w:val="0"/>
      <w:snapToGrid w:val="0"/>
      <w:spacing w:line="260" w:lineRule="atLeast"/>
      <w:ind w:firstLine="425"/>
      <w:jc w:val="both"/>
    </w:pPr>
    <w:rPr>
      <w:rFonts w:ascii="Palatino Linotype" w:eastAsia="Times New Roman" w:hAnsi="Palatino Linotype" w:cs="Times New Roman"/>
      <w:snapToGrid w:val="0"/>
      <w:color w:val="000000"/>
      <w:szCs w:val="22"/>
      <w:lang w:val="en-US" w:eastAsia="de-DE" w:bidi="en-US"/>
    </w:rPr>
  </w:style>
  <w:style w:type="character" w:customStyle="1" w:styleId="NoSpacingChar">
    <w:name w:val="No Spacing Char"/>
    <w:link w:val="NoSpacing"/>
    <w:uiPriority w:val="1"/>
    <w:rsid w:val="00D41AD7"/>
    <w:rPr>
      <w:rFonts w:ascii="Calibri" w:eastAsia="Calibri" w:hAnsi="Calibri" w:cs="Times New Roman"/>
      <w:sz w:val="22"/>
      <w:szCs w:val="22"/>
      <w:lang w:val="en-US" w:eastAsia="en-US"/>
    </w:rPr>
  </w:style>
  <w:style w:type="character" w:customStyle="1" w:styleId="ListParagraphChar">
    <w:name w:val="List Paragraph Char"/>
    <w:aliases w:val="Body of text Char,Body of text+1 Char,Body of text+2 Char,Body of text+3 Char,Body of text1 Char,Body of text2 Char,Colorful List - Accent 11 Char,KEPALA 3 Char,KEPALA 31 Char,KEPALA 32 Char,List Paragraph1 Char,List Paragraph11 Char"/>
    <w:link w:val="ListParagraph"/>
    <w:uiPriority w:val="34"/>
    <w:qFormat/>
    <w:locked/>
    <w:rsid w:val="00D41AD7"/>
    <w:rPr>
      <w:rFonts w:ascii="Calibri" w:eastAsia="Calibri" w:hAnsi="Calibri" w:cs="Times New Roman"/>
      <w:sz w:val="22"/>
      <w:szCs w:val="22"/>
      <w:lang w:val="en-US" w:eastAsia="en-US"/>
    </w:rPr>
  </w:style>
  <w:style w:type="paragraph" w:customStyle="1" w:styleId="TableParagraph">
    <w:name w:val="Table Paragraph"/>
    <w:basedOn w:val="Normal"/>
    <w:uiPriority w:val="1"/>
    <w:qFormat/>
    <w:rsid w:val="00D41AD7"/>
    <w:pPr>
      <w:widowControl w:val="0"/>
      <w:autoSpaceDE w:val="0"/>
      <w:autoSpaceDN w:val="0"/>
      <w:spacing w:after="0" w:line="240" w:lineRule="auto"/>
    </w:pPr>
    <w:rPr>
      <w:rFonts w:ascii="Arial MT" w:eastAsia="Arial MT" w:hAnsi="Arial MT" w:cs="Arial MT"/>
    </w:rPr>
  </w:style>
  <w:style w:type="paragraph" w:customStyle="1" w:styleId="Corresponding">
    <w:name w:val="Corresponding"/>
    <w:basedOn w:val="Normal"/>
    <w:qFormat/>
    <w:rsid w:val="0002094B"/>
    <w:pPr>
      <w:spacing w:after="120" w:line="360" w:lineRule="auto"/>
    </w:pPr>
    <w:rPr>
      <w:rFonts w:ascii="Times New Roman" w:eastAsia="DengXian" w:hAnsi="Times New Roman" w:cs="Arial"/>
      <w:i/>
      <w:color w:val="000000"/>
      <w:sz w:val="20"/>
      <w:szCs w:val="20"/>
      <w:lang w:val="en-IN"/>
    </w:rPr>
  </w:style>
  <w:style w:type="character" w:customStyle="1" w:styleId="jlqj4b">
    <w:name w:val="jlqj4b"/>
    <w:rsid w:val="0002094B"/>
  </w:style>
  <w:style w:type="character" w:customStyle="1" w:styleId="selected">
    <w:name w:val="selected"/>
    <w:basedOn w:val="DefaultParagraphFont"/>
    <w:qFormat/>
    <w:rsid w:val="00223B95"/>
  </w:style>
  <w:style w:type="character" w:customStyle="1" w:styleId="Heading4Char">
    <w:name w:val="Heading 4 Char"/>
    <w:basedOn w:val="DefaultParagraphFont"/>
    <w:link w:val="Heading4"/>
    <w:uiPriority w:val="9"/>
    <w:rsid w:val="00AB07DA"/>
    <w:rPr>
      <w:rFonts w:asciiTheme="majorHAnsi" w:eastAsiaTheme="majorEastAsia" w:hAnsiTheme="majorHAnsi" w:cstheme="majorBidi"/>
      <w:i/>
      <w:iCs/>
      <w:color w:val="365F91" w:themeColor="accent1" w:themeShade="BF"/>
      <w:sz w:val="22"/>
      <w:szCs w:val="22"/>
      <w:lang w:val="en-US" w:eastAsia="en-US"/>
    </w:rPr>
  </w:style>
  <w:style w:type="paragraph" w:customStyle="1" w:styleId="bibitem">
    <w:name w:val="bibitem"/>
    <w:basedOn w:val="Normal"/>
    <w:rsid w:val="00277810"/>
    <w:pPr>
      <w:spacing w:before="100" w:beforeAutospacing="1" w:after="100" w:afterAutospacing="1" w:line="240" w:lineRule="auto"/>
    </w:pPr>
    <w:rPr>
      <w:rFonts w:ascii="Times New Roman" w:eastAsia="Times New Roman" w:hAnsi="Times New Roman"/>
      <w:sz w:val="24"/>
      <w:szCs w:val="24"/>
    </w:rPr>
  </w:style>
  <w:style w:type="paragraph" w:customStyle="1" w:styleId="Pa9">
    <w:name w:val="Pa9"/>
    <w:basedOn w:val="Default"/>
    <w:next w:val="Default"/>
    <w:uiPriority w:val="99"/>
    <w:rsid w:val="009E7149"/>
    <w:pPr>
      <w:spacing w:line="201" w:lineRule="atLeast"/>
    </w:pPr>
    <w:rPr>
      <w:rFonts w:ascii="Calisto MT" w:eastAsia="Times New Roman" w:hAnsi="Calisto MT"/>
      <w:color w:val="auto"/>
    </w:rPr>
  </w:style>
  <w:style w:type="table" w:customStyle="1" w:styleId="PlainTable21">
    <w:name w:val="Plain Table 21"/>
    <w:basedOn w:val="TableNormal"/>
    <w:uiPriority w:val="42"/>
    <w:rsid w:val="007506F8"/>
    <w:rPr>
      <w:sz w:val="22"/>
      <w:szCs w:val="22"/>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msonospacing0">
    <w:name w:val="msonospacing"/>
    <w:rsid w:val="007C3E14"/>
    <w:rPr>
      <w:rFonts w:ascii="Times New Roman" w:eastAsia="Times New Roman" w:hAnsi="Times New Roman" w:cs="Times New Roman"/>
      <w:sz w:val="22"/>
      <w:szCs w:val="22"/>
    </w:rPr>
  </w:style>
  <w:style w:type="paragraph" w:styleId="NormalWeb">
    <w:name w:val="Normal (Web)"/>
    <w:basedOn w:val="Normal"/>
    <w:uiPriority w:val="99"/>
    <w:unhideWhenUsed/>
    <w:rsid w:val="000B578E"/>
    <w:pPr>
      <w:spacing w:before="100" w:beforeAutospacing="1" w:after="100" w:afterAutospacing="1" w:line="240" w:lineRule="auto"/>
    </w:pPr>
    <w:rPr>
      <w:rFonts w:ascii="Times New Roman" w:eastAsia="Times New Roman" w:hAnsi="Times New Roman"/>
      <w:sz w:val="24"/>
      <w:szCs w:val="24"/>
    </w:rPr>
  </w:style>
  <w:style w:type="paragraph" w:styleId="TOC8">
    <w:name w:val="toc 8"/>
    <w:basedOn w:val="Normal"/>
    <w:next w:val="Normal"/>
    <w:unhideWhenUsed/>
    <w:qFormat/>
    <w:rsid w:val="00951AF4"/>
    <w:pPr>
      <w:autoSpaceDE w:val="0"/>
      <w:autoSpaceDN w:val="0"/>
      <w:spacing w:after="100"/>
      <w:ind w:left="1540"/>
    </w:pPr>
    <w:rPr>
      <w:rFonts w:eastAsia="Times New Roman"/>
    </w:rPr>
  </w:style>
  <w:style w:type="character" w:customStyle="1" w:styleId="sw">
    <w:name w:val="sw"/>
    <w:basedOn w:val="DefaultParagraphFont"/>
    <w:rsid w:val="00A32368"/>
  </w:style>
  <w:style w:type="character" w:customStyle="1" w:styleId="Heading2Char">
    <w:name w:val="Heading 2 Char"/>
    <w:basedOn w:val="DefaultParagraphFont"/>
    <w:link w:val="Heading2"/>
    <w:uiPriority w:val="9"/>
    <w:rsid w:val="00B124C3"/>
    <w:rPr>
      <w:rFonts w:ascii="Arial" w:eastAsia="Arial" w:hAnsi="Arial" w:cs="Arial"/>
      <w:b/>
      <w:bCs/>
      <w:sz w:val="23"/>
      <w:szCs w:val="23"/>
      <w:lang w:val="en-US" w:eastAsia="en-US"/>
    </w:rPr>
  </w:style>
  <w:style w:type="character" w:customStyle="1" w:styleId="Heading5Char">
    <w:name w:val="Heading 5 Char"/>
    <w:basedOn w:val="DefaultParagraphFont"/>
    <w:link w:val="Heading5"/>
    <w:uiPriority w:val="1"/>
    <w:semiHidden/>
    <w:rsid w:val="00B124C3"/>
    <w:rPr>
      <w:rFonts w:ascii="Arial" w:eastAsia="Arial" w:hAnsi="Arial" w:cs="Arial"/>
      <w:b/>
      <w:bCs/>
      <w:sz w:val="22"/>
      <w:szCs w:val="22"/>
      <w:lang w:val="en-US" w:eastAsia="en-US"/>
    </w:rPr>
  </w:style>
  <w:style w:type="character" w:customStyle="1" w:styleId="Heading6Char">
    <w:name w:val="Heading 6 Char"/>
    <w:basedOn w:val="DefaultParagraphFont"/>
    <w:link w:val="Heading6"/>
    <w:semiHidden/>
    <w:rsid w:val="00B124C3"/>
    <w:rPr>
      <w:rFonts w:ascii="Arial" w:eastAsia="Arial" w:hAnsi="Arial" w:cs="Arial"/>
      <w:b/>
      <w:bCs/>
      <w:i/>
      <w:iCs/>
      <w:sz w:val="22"/>
      <w:szCs w:val="22"/>
      <w:lang w:val="en-US" w:eastAsia="en-US"/>
    </w:rPr>
  </w:style>
  <w:style w:type="character" w:styleId="FollowedHyperlink">
    <w:name w:val="FollowedHyperlink"/>
    <w:basedOn w:val="DefaultParagraphFont"/>
    <w:uiPriority w:val="99"/>
    <w:semiHidden/>
    <w:unhideWhenUsed/>
    <w:rsid w:val="00B124C3"/>
    <w:rPr>
      <w:color w:val="800080" w:themeColor="followedHyperlink"/>
      <w:u w:val="single"/>
    </w:rPr>
  </w:style>
  <w:style w:type="paragraph" w:styleId="TOC1">
    <w:name w:val="toc 1"/>
    <w:basedOn w:val="Normal"/>
    <w:autoRedefine/>
    <w:uiPriority w:val="39"/>
    <w:unhideWhenUsed/>
    <w:qFormat/>
    <w:rsid w:val="00B124C3"/>
    <w:pPr>
      <w:widowControl w:val="0"/>
      <w:autoSpaceDE w:val="0"/>
      <w:autoSpaceDN w:val="0"/>
      <w:spacing w:before="255" w:after="0" w:line="240" w:lineRule="auto"/>
      <w:ind w:left="724"/>
      <w:jc w:val="center"/>
    </w:pPr>
    <w:rPr>
      <w:rFonts w:ascii="Microsoft Sans Serif" w:eastAsia="Microsoft Sans Serif" w:hAnsi="Microsoft Sans Serif" w:cs="Microsoft Sans Serif"/>
    </w:rPr>
  </w:style>
  <w:style w:type="paragraph" w:styleId="TOC2">
    <w:name w:val="toc 2"/>
    <w:basedOn w:val="Normal"/>
    <w:autoRedefine/>
    <w:uiPriority w:val="39"/>
    <w:unhideWhenUsed/>
    <w:qFormat/>
    <w:rsid w:val="00B124C3"/>
    <w:pPr>
      <w:widowControl w:val="0"/>
      <w:autoSpaceDE w:val="0"/>
      <w:autoSpaceDN w:val="0"/>
      <w:spacing w:before="256" w:after="0" w:line="240" w:lineRule="auto"/>
      <w:ind w:left="2210" w:hanging="1422"/>
    </w:pPr>
    <w:rPr>
      <w:rFonts w:ascii="Microsoft Sans Serif" w:eastAsia="Microsoft Sans Serif" w:hAnsi="Microsoft Sans Serif" w:cs="Microsoft Sans Serif"/>
    </w:rPr>
  </w:style>
  <w:style w:type="paragraph" w:styleId="TOC3">
    <w:name w:val="toc 3"/>
    <w:basedOn w:val="Normal"/>
    <w:autoRedefine/>
    <w:uiPriority w:val="39"/>
    <w:unhideWhenUsed/>
    <w:qFormat/>
    <w:rsid w:val="00B124C3"/>
    <w:pPr>
      <w:widowControl w:val="0"/>
      <w:autoSpaceDE w:val="0"/>
      <w:autoSpaceDN w:val="0"/>
      <w:spacing w:before="251" w:after="0" w:line="240" w:lineRule="auto"/>
      <w:ind w:left="1369" w:hanging="332"/>
    </w:pPr>
    <w:rPr>
      <w:rFonts w:ascii="Arial" w:eastAsia="Arial" w:hAnsi="Arial" w:cs="Arial"/>
      <w:b/>
      <w:bCs/>
    </w:rPr>
  </w:style>
  <w:style w:type="paragraph" w:styleId="TOC4">
    <w:name w:val="toc 4"/>
    <w:basedOn w:val="Normal"/>
    <w:autoRedefine/>
    <w:uiPriority w:val="39"/>
    <w:unhideWhenUsed/>
    <w:qFormat/>
    <w:rsid w:val="00B124C3"/>
    <w:pPr>
      <w:widowControl w:val="0"/>
      <w:autoSpaceDE w:val="0"/>
      <w:autoSpaceDN w:val="0"/>
      <w:spacing w:before="259" w:after="0" w:line="240" w:lineRule="auto"/>
      <w:ind w:left="1369"/>
    </w:pPr>
    <w:rPr>
      <w:rFonts w:ascii="Microsoft Sans Serif" w:eastAsia="Microsoft Sans Serif" w:hAnsi="Microsoft Sans Serif" w:cs="Microsoft Sans Serif"/>
      <w:b/>
      <w:bCs/>
      <w:i/>
      <w:iCs/>
    </w:rPr>
  </w:style>
  <w:style w:type="paragraph" w:styleId="TOC5">
    <w:name w:val="toc 5"/>
    <w:basedOn w:val="Normal"/>
    <w:autoRedefine/>
    <w:semiHidden/>
    <w:unhideWhenUsed/>
    <w:qFormat/>
    <w:rsid w:val="00B124C3"/>
    <w:pPr>
      <w:widowControl w:val="0"/>
      <w:autoSpaceDE w:val="0"/>
      <w:autoSpaceDN w:val="0"/>
      <w:spacing w:before="255" w:after="0" w:line="240" w:lineRule="auto"/>
      <w:ind w:left="1592" w:hanging="432"/>
    </w:pPr>
    <w:rPr>
      <w:rFonts w:ascii="Microsoft Sans Serif" w:eastAsia="Microsoft Sans Serif" w:hAnsi="Microsoft Sans Serif" w:cs="Microsoft Sans Serif"/>
    </w:rPr>
  </w:style>
  <w:style w:type="paragraph" w:styleId="TOC6">
    <w:name w:val="toc 6"/>
    <w:basedOn w:val="Normal"/>
    <w:autoRedefine/>
    <w:semiHidden/>
    <w:unhideWhenUsed/>
    <w:qFormat/>
    <w:rsid w:val="00B124C3"/>
    <w:pPr>
      <w:widowControl w:val="0"/>
      <w:autoSpaceDE w:val="0"/>
      <w:autoSpaceDN w:val="0"/>
      <w:spacing w:before="255" w:after="0" w:line="240" w:lineRule="auto"/>
      <w:ind w:left="2239" w:hanging="677"/>
    </w:pPr>
    <w:rPr>
      <w:rFonts w:ascii="Microsoft Sans Serif" w:eastAsia="Microsoft Sans Serif" w:hAnsi="Microsoft Sans Serif" w:cs="Microsoft Sans Serif"/>
    </w:rPr>
  </w:style>
  <w:style w:type="paragraph" w:styleId="TOC7">
    <w:name w:val="toc 7"/>
    <w:basedOn w:val="Normal"/>
    <w:autoRedefine/>
    <w:semiHidden/>
    <w:unhideWhenUsed/>
    <w:qFormat/>
    <w:rsid w:val="00B124C3"/>
    <w:pPr>
      <w:widowControl w:val="0"/>
      <w:autoSpaceDE w:val="0"/>
      <w:autoSpaceDN w:val="0"/>
      <w:spacing w:before="255" w:after="0" w:line="240" w:lineRule="auto"/>
      <w:ind w:left="1982"/>
    </w:pPr>
    <w:rPr>
      <w:rFonts w:ascii="Microsoft Sans Serif" w:eastAsia="Microsoft Sans Serif" w:hAnsi="Microsoft Sans Serif" w:cs="Microsoft Sans Serif"/>
    </w:rPr>
  </w:style>
  <w:style w:type="table" w:customStyle="1" w:styleId="TableNormal1">
    <w:name w:val="Table Normal1"/>
    <w:uiPriority w:val="2"/>
    <w:semiHidden/>
    <w:qFormat/>
    <w:rsid w:val="00B124C3"/>
    <w:rPr>
      <w:rFonts w:ascii="Times New Roman" w:eastAsia="SimSun" w:hAnsi="Times New Roman" w:cs="Times New Roman"/>
      <w:lang w:val="en-US" w:eastAsia="en-US"/>
    </w:rPr>
    <w:tblPr>
      <w:tblCellMar>
        <w:top w:w="0" w:type="dxa"/>
        <w:left w:w="0" w:type="dxa"/>
        <w:bottom w:w="0" w:type="dxa"/>
        <w:right w:w="0" w:type="dxa"/>
      </w:tblCellMar>
    </w:tblPr>
  </w:style>
  <w:style w:type="paragraph" w:styleId="TableofFigures">
    <w:name w:val="table of figures"/>
    <w:basedOn w:val="Normal"/>
    <w:next w:val="Normal"/>
    <w:uiPriority w:val="99"/>
    <w:unhideWhenUsed/>
    <w:rsid w:val="00AC4EB0"/>
    <w:pPr>
      <w:spacing w:after="0" w:line="259" w:lineRule="auto"/>
    </w:pPr>
    <w:rPr>
      <w:rFonts w:ascii="Arial" w:hAnsi="Arial"/>
      <w:color w:val="000000" w:themeColor="text1"/>
      <w:kern w:val="2"/>
      <w:lang w:val="en-ID"/>
    </w:rPr>
  </w:style>
  <w:style w:type="paragraph" w:styleId="TOCHeading">
    <w:name w:val="TOC Heading"/>
    <w:basedOn w:val="Heading1"/>
    <w:next w:val="Normal"/>
    <w:uiPriority w:val="39"/>
    <w:unhideWhenUsed/>
    <w:qFormat/>
    <w:rsid w:val="00AC4EB0"/>
    <w:pPr>
      <w:keepLines/>
      <w:spacing w:before="240" w:line="259" w:lineRule="auto"/>
      <w:jc w:val="left"/>
      <w:outlineLvl w:val="9"/>
    </w:pPr>
    <w:rPr>
      <w:rFonts w:ascii="Calibri Light" w:hAnsi="Calibri Light"/>
      <w:b w:val="0"/>
      <w:bCs w:val="0"/>
      <w:color w:val="2F5496"/>
      <w:sz w:val="32"/>
      <w:szCs w:val="32"/>
      <w:lang w:val="en-US"/>
    </w:rPr>
  </w:style>
  <w:style w:type="character" w:customStyle="1" w:styleId="apple-converted-space">
    <w:name w:val="apple-converted-space"/>
    <w:basedOn w:val="DefaultParagraphFont"/>
    <w:rsid w:val="00AC4EB0"/>
    <w:rPr>
      <w:rFonts w:cs="Times New Roman"/>
    </w:rPr>
  </w:style>
  <w:style w:type="character" w:styleId="Strong">
    <w:name w:val="Strong"/>
    <w:basedOn w:val="DefaultParagraphFont"/>
    <w:uiPriority w:val="22"/>
    <w:qFormat/>
    <w:rsid w:val="00AC4EB0"/>
    <w:rPr>
      <w:rFonts w:cs="Times New Roman"/>
      <w:b/>
      <w:bCs/>
    </w:rPr>
  </w:style>
  <w:style w:type="character" w:customStyle="1" w:styleId="A6">
    <w:name w:val="A6"/>
    <w:uiPriority w:val="99"/>
    <w:rsid w:val="00AC4EB0"/>
    <w:rPr>
      <w:rFonts w:ascii="Times New Roman" w:hAnsi="Times New Roman"/>
      <w:i/>
      <w:color w:val="000000"/>
    </w:rPr>
  </w:style>
  <w:style w:type="paragraph" w:customStyle="1" w:styleId="Pa8">
    <w:name w:val="Pa8"/>
    <w:basedOn w:val="Normal"/>
    <w:next w:val="Normal"/>
    <w:uiPriority w:val="99"/>
    <w:rsid w:val="00AC4EB0"/>
    <w:pPr>
      <w:autoSpaceDE w:val="0"/>
      <w:autoSpaceDN w:val="0"/>
      <w:adjustRightInd w:val="0"/>
      <w:spacing w:after="0" w:line="221" w:lineRule="atLeast"/>
    </w:pPr>
    <w:rPr>
      <w:rFonts w:ascii="Arial" w:eastAsiaTheme="minorEastAsia" w:hAnsi="Arial" w:cs="Arial"/>
      <w:sz w:val="24"/>
      <w:szCs w:val="24"/>
      <w:lang w:eastAsia="id-ID"/>
    </w:rPr>
  </w:style>
  <w:style w:type="paragraph" w:customStyle="1" w:styleId="Pa12">
    <w:name w:val="Pa12"/>
    <w:basedOn w:val="Normal"/>
    <w:next w:val="Normal"/>
    <w:uiPriority w:val="99"/>
    <w:rsid w:val="00AC4EB0"/>
    <w:pPr>
      <w:autoSpaceDE w:val="0"/>
      <w:autoSpaceDN w:val="0"/>
      <w:adjustRightInd w:val="0"/>
      <w:spacing w:after="0" w:line="221" w:lineRule="atLeast"/>
    </w:pPr>
    <w:rPr>
      <w:rFonts w:ascii="Arial" w:eastAsiaTheme="minorEastAsia" w:hAnsi="Arial" w:cs="Arial"/>
      <w:sz w:val="24"/>
      <w:szCs w:val="24"/>
      <w:lang w:eastAsia="id-ID"/>
    </w:rPr>
  </w:style>
  <w:style w:type="paragraph" w:customStyle="1" w:styleId="Pa6">
    <w:name w:val="Pa6"/>
    <w:basedOn w:val="Default"/>
    <w:next w:val="Default"/>
    <w:uiPriority w:val="99"/>
    <w:rsid w:val="00AC4EB0"/>
    <w:pPr>
      <w:spacing w:line="241" w:lineRule="atLeast"/>
    </w:pPr>
    <w:rPr>
      <w:rFonts w:ascii="Arial" w:eastAsiaTheme="minorEastAsia" w:hAnsi="Arial" w:cs="Arial"/>
      <w:color w:val="auto"/>
      <w:lang w:eastAsia="id-ID"/>
    </w:rPr>
  </w:style>
  <w:style w:type="character" w:customStyle="1" w:styleId="A7">
    <w:name w:val="A7"/>
    <w:uiPriority w:val="99"/>
    <w:rsid w:val="00AC4EB0"/>
    <w:rPr>
      <w:i/>
      <w:color w:val="000000"/>
      <w:sz w:val="20"/>
    </w:rPr>
  </w:style>
  <w:style w:type="paragraph" w:customStyle="1" w:styleId="Pa5">
    <w:name w:val="Pa5"/>
    <w:basedOn w:val="Default"/>
    <w:next w:val="Default"/>
    <w:uiPriority w:val="99"/>
    <w:rsid w:val="00AC4EB0"/>
    <w:pPr>
      <w:spacing w:line="241" w:lineRule="atLeast"/>
    </w:pPr>
    <w:rPr>
      <w:rFonts w:ascii="Arial" w:eastAsiaTheme="minorEastAsia" w:hAnsi="Arial" w:cs="Arial"/>
      <w:color w:val="auto"/>
      <w:lang w:eastAsia="id-ID"/>
    </w:rPr>
  </w:style>
  <w:style w:type="paragraph" w:customStyle="1" w:styleId="Pa7">
    <w:name w:val="Pa7"/>
    <w:basedOn w:val="Default"/>
    <w:next w:val="Default"/>
    <w:uiPriority w:val="99"/>
    <w:rsid w:val="00AC4EB0"/>
    <w:pPr>
      <w:spacing w:line="241" w:lineRule="atLeast"/>
    </w:pPr>
    <w:rPr>
      <w:rFonts w:ascii="Arial" w:eastAsiaTheme="minorEastAsia" w:hAnsi="Arial" w:cs="Arial"/>
      <w:color w:val="auto"/>
      <w:lang w:eastAsia="id-ID"/>
    </w:rPr>
  </w:style>
  <w:style w:type="paragraph" w:customStyle="1" w:styleId="Pa11">
    <w:name w:val="Pa11"/>
    <w:basedOn w:val="Default"/>
    <w:next w:val="Default"/>
    <w:uiPriority w:val="99"/>
    <w:rsid w:val="00AC4EB0"/>
    <w:pPr>
      <w:spacing w:line="221" w:lineRule="atLeast"/>
    </w:pPr>
    <w:rPr>
      <w:rFonts w:ascii="Arial" w:eastAsiaTheme="minorEastAsia" w:hAnsi="Arial" w:cs="Arial"/>
      <w:color w:val="auto"/>
      <w:lang w:eastAsia="id-ID"/>
    </w:rPr>
  </w:style>
  <w:style w:type="paragraph" w:customStyle="1" w:styleId="Pa10">
    <w:name w:val="Pa10"/>
    <w:basedOn w:val="Default"/>
    <w:next w:val="Default"/>
    <w:uiPriority w:val="99"/>
    <w:rsid w:val="00AC4EB0"/>
    <w:pPr>
      <w:spacing w:line="221" w:lineRule="atLeast"/>
    </w:pPr>
    <w:rPr>
      <w:rFonts w:ascii="Arial" w:eastAsiaTheme="minorEastAsia" w:hAnsi="Arial" w:cs="Arial"/>
      <w:color w:val="auto"/>
      <w:lang w:eastAsia="id-ID"/>
    </w:rPr>
  </w:style>
  <w:style w:type="table" w:customStyle="1" w:styleId="TableGrid1">
    <w:name w:val="Table Grid1"/>
    <w:basedOn w:val="TableNormal"/>
    <w:next w:val="TableGrid"/>
    <w:uiPriority w:val="39"/>
    <w:rsid w:val="00AC4EB0"/>
    <w:rPr>
      <w:rFonts w:eastAsiaTheme="minorEastAsia"/>
      <w:sz w:val="22"/>
      <w:szCs w:val="22"/>
      <w:lang w:val="en-US"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AC4EB0"/>
    <w:rPr>
      <w:rFonts w:eastAsiaTheme="minorEastAsia"/>
      <w:sz w:val="22"/>
      <w:szCs w:val="22"/>
      <w:lang w:val="en-US"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C4EB0"/>
    <w:pPr>
      <w:ind w:left="607" w:right="85"/>
      <w:jc w:val="both"/>
    </w:pPr>
    <w:rPr>
      <w:rFonts w:eastAsiaTheme="minorEastAsia"/>
      <w:sz w:val="22"/>
      <w:szCs w:val="22"/>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a"/>
    <w:basedOn w:val="DefaultParagraphFont"/>
    <w:rsid w:val="00AC4EB0"/>
    <w:rPr>
      <w:rFonts w:cs="Times New Roman"/>
    </w:rPr>
  </w:style>
  <w:style w:type="character" w:customStyle="1" w:styleId="l6">
    <w:name w:val="l6"/>
    <w:basedOn w:val="DefaultParagraphFont"/>
    <w:rsid w:val="00AC4EB0"/>
    <w:rPr>
      <w:rFonts w:cs="Times New Roman"/>
    </w:rPr>
  </w:style>
  <w:style w:type="character" w:customStyle="1" w:styleId="l10">
    <w:name w:val="l10"/>
    <w:basedOn w:val="DefaultParagraphFont"/>
    <w:rsid w:val="00AC4EB0"/>
    <w:rPr>
      <w:rFonts w:cs="Times New Roman"/>
    </w:rPr>
  </w:style>
  <w:style w:type="character" w:customStyle="1" w:styleId="l7">
    <w:name w:val="l7"/>
    <w:basedOn w:val="DefaultParagraphFont"/>
    <w:rsid w:val="00AC4EB0"/>
    <w:rPr>
      <w:rFonts w:cs="Times New Roman"/>
    </w:rPr>
  </w:style>
  <w:style w:type="character" w:customStyle="1" w:styleId="l8">
    <w:name w:val="l8"/>
    <w:basedOn w:val="DefaultParagraphFont"/>
    <w:rsid w:val="00AC4EB0"/>
    <w:rPr>
      <w:rFonts w:cs="Times New Roman"/>
    </w:rPr>
  </w:style>
  <w:style w:type="character" w:customStyle="1" w:styleId="l9">
    <w:name w:val="l9"/>
    <w:basedOn w:val="DefaultParagraphFont"/>
    <w:rsid w:val="00AC4EB0"/>
    <w:rPr>
      <w:rFonts w:cs="Times New Roman"/>
    </w:rPr>
  </w:style>
  <w:style w:type="table" w:customStyle="1" w:styleId="LightShading1">
    <w:name w:val="Light Shading1"/>
    <w:basedOn w:val="TableNormal"/>
    <w:uiPriority w:val="60"/>
    <w:rsid w:val="00AC4EB0"/>
    <w:pPr>
      <w:ind w:left="607" w:right="85"/>
      <w:jc w:val="both"/>
    </w:pPr>
    <w:rPr>
      <w:rFonts w:eastAsiaTheme="minorEastAsia"/>
      <w:color w:val="000000" w:themeColor="text1" w:themeShade="BF"/>
      <w:sz w:val="22"/>
      <w:szCs w:val="22"/>
      <w:lang w:val="id-ID" w:eastAsia="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heme="minorBidi"/>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C0C0C0" w:themeFill="text1" w:themeFillTint="3F"/>
      </w:tcPr>
    </w:tblStylePr>
    <w:tblStylePr w:type="band1Horz">
      <w:rPr>
        <w:rFonts w:cstheme="minorBidi"/>
      </w:rPr>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rsid w:val="00AC4EB0"/>
    <w:pPr>
      <w:ind w:left="607" w:right="85"/>
      <w:jc w:val="both"/>
    </w:pPr>
    <w:rPr>
      <w:rFonts w:eastAsiaTheme="minorEastAsia"/>
      <w:color w:val="365F91" w:themeColor="accent1" w:themeShade="BF"/>
      <w:sz w:val="22"/>
      <w:szCs w:val="22"/>
      <w:lang w:val="id-ID" w:eastAsia="id-ID"/>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heme="minorBidi"/>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heme="minorBidi"/>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D3DFEE" w:themeFill="accent1" w:themeFillTint="3F"/>
      </w:tcPr>
    </w:tblStylePr>
    <w:tblStylePr w:type="band1Horz">
      <w:rPr>
        <w:rFonts w:cstheme="minorBidi"/>
      </w:rPr>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C4EB0"/>
    <w:pPr>
      <w:ind w:left="607" w:right="85"/>
      <w:jc w:val="both"/>
    </w:pPr>
    <w:rPr>
      <w:rFonts w:eastAsiaTheme="minorEastAsia"/>
      <w:color w:val="943634" w:themeColor="accent2" w:themeShade="BF"/>
      <w:sz w:val="22"/>
      <w:szCs w:val="22"/>
      <w:lang w:val="id-ID" w:eastAsia="id-ID"/>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pPr>
      <w:rPr>
        <w:rFonts w:cstheme="minorBidi"/>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pPr>
      <w:rPr>
        <w:rFonts w:cstheme="minorBidi"/>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EFD3D2" w:themeFill="accent2" w:themeFillTint="3F"/>
      </w:tcPr>
    </w:tblStylePr>
    <w:tblStylePr w:type="band1Horz">
      <w:rPr>
        <w:rFonts w:cstheme="minorBidi"/>
      </w:rPr>
      <w:tblPr/>
      <w:tcPr>
        <w:tcBorders>
          <w:left w:val="nil"/>
          <w:right w:val="nil"/>
          <w:insideH w:val="nil"/>
          <w:insideV w:val="nil"/>
        </w:tcBorders>
        <w:shd w:val="clear" w:color="auto" w:fill="EFD3D2" w:themeFill="accent2" w:themeFillTint="3F"/>
      </w:tcPr>
    </w:tblStylePr>
  </w:style>
  <w:style w:type="table" w:styleId="LightShading-Accent6">
    <w:name w:val="Light Shading Accent 6"/>
    <w:basedOn w:val="TableNormal"/>
    <w:uiPriority w:val="60"/>
    <w:rsid w:val="00AC4EB0"/>
    <w:pPr>
      <w:ind w:left="607" w:right="85"/>
      <w:jc w:val="both"/>
    </w:pPr>
    <w:rPr>
      <w:rFonts w:eastAsiaTheme="minorEastAsia"/>
      <w:color w:val="E36C0A" w:themeColor="accent6" w:themeShade="BF"/>
      <w:sz w:val="22"/>
      <w:szCs w:val="22"/>
      <w:lang w:val="id-ID" w:eastAsia="id-ID"/>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pPr>
      <w:rPr>
        <w:rFonts w:cstheme="minorBidi"/>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pPr>
      <w:rPr>
        <w:rFonts w:cstheme="minorBidi"/>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FDE4D0" w:themeFill="accent6" w:themeFillTint="3F"/>
      </w:tcPr>
    </w:tblStylePr>
    <w:tblStylePr w:type="band1Horz">
      <w:rPr>
        <w:rFonts w:cstheme="minorBidi"/>
      </w:rPr>
      <w:tblPr/>
      <w:tcPr>
        <w:tcBorders>
          <w:left w:val="nil"/>
          <w:right w:val="nil"/>
          <w:insideH w:val="nil"/>
          <w:insideV w:val="nil"/>
        </w:tcBorders>
        <w:shd w:val="clear" w:color="auto" w:fill="FDE4D0" w:themeFill="accent6" w:themeFillTint="3F"/>
      </w:tcPr>
    </w:tblStylePr>
  </w:style>
  <w:style w:type="table" w:styleId="LightShading-Accent3">
    <w:name w:val="Light Shading Accent 3"/>
    <w:basedOn w:val="TableNormal"/>
    <w:uiPriority w:val="60"/>
    <w:rsid w:val="00AC4EB0"/>
    <w:pPr>
      <w:ind w:left="607" w:right="85"/>
      <w:jc w:val="both"/>
    </w:pPr>
    <w:rPr>
      <w:rFonts w:eastAsiaTheme="minorEastAsia"/>
      <w:color w:val="76923C" w:themeColor="accent3" w:themeShade="BF"/>
      <w:sz w:val="22"/>
      <w:szCs w:val="22"/>
      <w:lang w:val="id-ID" w:eastAsia="id-ID"/>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pPr>
      <w:rPr>
        <w:rFonts w:cstheme="minorBidi"/>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pPr>
      <w:rPr>
        <w:rFonts w:cstheme="minorBidi"/>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E6EED5" w:themeFill="accent3" w:themeFillTint="3F"/>
      </w:tcPr>
    </w:tblStylePr>
    <w:tblStylePr w:type="band1Horz">
      <w:rPr>
        <w:rFonts w:cstheme="minorBidi"/>
      </w:rPr>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AC4EB0"/>
    <w:pPr>
      <w:ind w:left="607" w:right="85"/>
      <w:jc w:val="both"/>
    </w:pPr>
    <w:rPr>
      <w:rFonts w:eastAsiaTheme="minorEastAsia"/>
      <w:color w:val="5F497A" w:themeColor="accent4" w:themeShade="BF"/>
      <w:sz w:val="22"/>
      <w:szCs w:val="22"/>
      <w:lang w:val="id-ID" w:eastAsia="id-ID"/>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pPr>
      <w:rPr>
        <w:rFonts w:cstheme="minorBidi"/>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pPr>
      <w:rPr>
        <w:rFonts w:cstheme="minorBidi"/>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cstheme="minorBidi"/>
        <w:b/>
        <w:bCs/>
      </w:rPr>
    </w:tblStylePr>
    <w:tblStylePr w:type="lastCol">
      <w:rPr>
        <w:rFonts w:cstheme="minorBidi"/>
        <w:b/>
        <w:bCs/>
      </w:rPr>
    </w:tblStylePr>
    <w:tblStylePr w:type="band1Vert">
      <w:rPr>
        <w:rFonts w:cstheme="minorBidi"/>
      </w:rPr>
      <w:tblPr/>
      <w:tcPr>
        <w:tcBorders>
          <w:left w:val="nil"/>
          <w:right w:val="nil"/>
          <w:insideH w:val="nil"/>
          <w:insideV w:val="nil"/>
        </w:tcBorders>
        <w:shd w:val="clear" w:color="auto" w:fill="DFD8E8" w:themeFill="accent4" w:themeFillTint="3F"/>
      </w:tcPr>
    </w:tblStylePr>
    <w:tblStylePr w:type="band1Horz">
      <w:rPr>
        <w:rFonts w:cstheme="minorBidi"/>
      </w:rPr>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AC4EB0"/>
    <w:rPr>
      <w:rFonts w:eastAsiaTheme="minorEastAsia"/>
      <w:color w:val="31849B" w:themeColor="accent5" w:themeShade="BF"/>
      <w:sz w:val="22"/>
      <w:szCs w:val="22"/>
      <w:lang w:val="id-ID" w:eastAsia="id-ID"/>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PlaceholderText">
    <w:name w:val="Placeholder Text"/>
    <w:basedOn w:val="DefaultParagraphFont"/>
    <w:uiPriority w:val="99"/>
    <w:semiHidden/>
    <w:rsid w:val="00AC4EB0"/>
    <w:rPr>
      <w:color w:val="808080"/>
    </w:rPr>
  </w:style>
  <w:style w:type="paragraph" w:customStyle="1" w:styleId="font5">
    <w:name w:val="font5"/>
    <w:basedOn w:val="Normal"/>
    <w:rsid w:val="00AC4EB0"/>
    <w:pPr>
      <w:spacing w:before="100" w:beforeAutospacing="1" w:after="100" w:afterAutospacing="1" w:line="240" w:lineRule="auto"/>
    </w:pPr>
    <w:rPr>
      <w:rFonts w:eastAsia="Times New Roman"/>
      <w:color w:val="000000"/>
      <w:lang w:val="id-ID" w:eastAsia="id-ID"/>
    </w:rPr>
  </w:style>
  <w:style w:type="paragraph" w:customStyle="1" w:styleId="xl63">
    <w:name w:val="xl63"/>
    <w:basedOn w:val="Normal"/>
    <w:rsid w:val="00AC4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id-ID" w:eastAsia="id-ID"/>
    </w:rPr>
  </w:style>
  <w:style w:type="paragraph" w:customStyle="1" w:styleId="xl64">
    <w:name w:val="xl64"/>
    <w:basedOn w:val="Normal"/>
    <w:rsid w:val="00AC4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lang w:val="id-ID" w:eastAsia="id-ID"/>
    </w:rPr>
  </w:style>
  <w:style w:type="paragraph" w:customStyle="1" w:styleId="xl65">
    <w:name w:val="xl65"/>
    <w:basedOn w:val="Normal"/>
    <w:rsid w:val="00AC4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id-ID" w:eastAsia="id-ID"/>
    </w:rPr>
  </w:style>
  <w:style w:type="paragraph" w:customStyle="1" w:styleId="xl66">
    <w:name w:val="xl66"/>
    <w:basedOn w:val="Normal"/>
    <w:rsid w:val="00AC4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000000"/>
      <w:sz w:val="24"/>
      <w:szCs w:val="24"/>
      <w:lang w:val="id-ID" w:eastAsia="id-ID"/>
    </w:rPr>
  </w:style>
  <w:style w:type="paragraph" w:customStyle="1" w:styleId="xl67">
    <w:name w:val="xl67"/>
    <w:basedOn w:val="Normal"/>
    <w:rsid w:val="00AC4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id-ID" w:eastAsia="id-ID"/>
    </w:rPr>
  </w:style>
  <w:style w:type="paragraph" w:customStyle="1" w:styleId="xl68">
    <w:name w:val="xl68"/>
    <w:basedOn w:val="Normal"/>
    <w:rsid w:val="00AC4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id-ID" w:eastAsia="id-ID"/>
    </w:rPr>
  </w:style>
  <w:style w:type="character" w:customStyle="1" w:styleId="pub-date-doi-text">
    <w:name w:val="pub-date-doi-text"/>
    <w:basedOn w:val="DefaultParagraphFont"/>
    <w:rsid w:val="00AC4EB0"/>
  </w:style>
  <w:style w:type="character" w:customStyle="1" w:styleId="desktop-only">
    <w:name w:val="desktop-only"/>
    <w:basedOn w:val="DefaultParagraphFont"/>
    <w:rsid w:val="00AC4EB0"/>
  </w:style>
  <w:style w:type="character" w:customStyle="1" w:styleId="A1">
    <w:name w:val="A1"/>
    <w:uiPriority w:val="99"/>
    <w:rsid w:val="00AC4EB0"/>
    <w:rPr>
      <w:color w:val="000000"/>
      <w:sz w:val="20"/>
      <w:szCs w:val="20"/>
    </w:rPr>
  </w:style>
  <w:style w:type="character" w:customStyle="1" w:styleId="ff2">
    <w:name w:val="ff2"/>
    <w:basedOn w:val="DefaultParagraphFont"/>
    <w:rsid w:val="00AC4EB0"/>
  </w:style>
  <w:style w:type="character" w:customStyle="1" w:styleId="name">
    <w:name w:val="name"/>
    <w:basedOn w:val="DefaultParagraphFont"/>
    <w:rsid w:val="00AC4EB0"/>
  </w:style>
  <w:style w:type="character" w:customStyle="1" w:styleId="affiliation">
    <w:name w:val="affiliation"/>
    <w:basedOn w:val="DefaultParagraphFont"/>
    <w:rsid w:val="00AC4EB0"/>
  </w:style>
  <w:style w:type="paragraph" w:customStyle="1" w:styleId="msonormal0">
    <w:name w:val="msonormal"/>
    <w:basedOn w:val="Normal"/>
    <w:rsid w:val="00AC4EB0"/>
    <w:pPr>
      <w:spacing w:before="100" w:beforeAutospacing="1" w:after="100" w:afterAutospacing="1" w:line="240" w:lineRule="auto"/>
    </w:pPr>
    <w:rPr>
      <w:rFonts w:ascii="Times New Roman" w:eastAsia="Times New Roman" w:hAnsi="Times New Roman"/>
      <w:sz w:val="24"/>
      <w:szCs w:val="24"/>
    </w:rPr>
  </w:style>
  <w:style w:type="paragraph" w:customStyle="1" w:styleId="xl69">
    <w:name w:val="xl69"/>
    <w:basedOn w:val="Normal"/>
    <w:rsid w:val="00AC4EB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70">
    <w:name w:val="xl70"/>
    <w:basedOn w:val="Normal"/>
    <w:rsid w:val="00AC4E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71">
    <w:name w:val="xl71"/>
    <w:basedOn w:val="Normal"/>
    <w:rsid w:val="00AC4EB0"/>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72">
    <w:name w:val="xl72"/>
    <w:basedOn w:val="Normal"/>
    <w:rsid w:val="00AC4EB0"/>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73">
    <w:name w:val="xl73"/>
    <w:basedOn w:val="Normal"/>
    <w:rsid w:val="00AC4EB0"/>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rPr>
  </w:style>
  <w:style w:type="paragraph" w:customStyle="1" w:styleId="xl74">
    <w:name w:val="xl74"/>
    <w:basedOn w:val="Normal"/>
    <w:rsid w:val="00AC4E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75">
    <w:name w:val="xl75"/>
    <w:basedOn w:val="Normal"/>
    <w:rsid w:val="00AC4EB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rPr>
  </w:style>
  <w:style w:type="paragraph" w:customStyle="1" w:styleId="xl76">
    <w:name w:val="xl76"/>
    <w:basedOn w:val="Normal"/>
    <w:rsid w:val="00AC4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customStyle="1" w:styleId="xl77">
    <w:name w:val="xl77"/>
    <w:basedOn w:val="Normal"/>
    <w:rsid w:val="00AC4E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rPr>
  </w:style>
  <w:style w:type="paragraph" w:styleId="BodyTextIndent2">
    <w:name w:val="Body Text Indent 2"/>
    <w:basedOn w:val="Normal"/>
    <w:link w:val="BodyTextIndent2Char"/>
    <w:uiPriority w:val="99"/>
    <w:semiHidden/>
    <w:rsid w:val="00AB2931"/>
    <w:pPr>
      <w:spacing w:after="0" w:line="480" w:lineRule="auto"/>
      <w:ind w:left="360" w:firstLine="360"/>
      <w:jc w:val="both"/>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semiHidden/>
    <w:rsid w:val="00AB2931"/>
    <w:rPr>
      <w:rFonts w:ascii="Times New Roman" w:eastAsia="Times New Roman" w:hAnsi="Times New Roman" w:cs="Times New Roman"/>
      <w:sz w:val="24"/>
      <w:szCs w:val="24"/>
      <w:lang w:val="en-US" w:eastAsia="en-US"/>
    </w:rPr>
  </w:style>
  <w:style w:type="numbering" w:customStyle="1" w:styleId="CurrentList1">
    <w:name w:val="Current List1"/>
    <w:uiPriority w:val="99"/>
    <w:rsid w:val="00AB2931"/>
    <w:pPr>
      <w:numPr>
        <w:numId w:val="1"/>
      </w:numPr>
    </w:pPr>
  </w:style>
  <w:style w:type="paragraph" w:styleId="Title">
    <w:name w:val="Title"/>
    <w:basedOn w:val="Normal"/>
    <w:link w:val="TitleChar"/>
    <w:uiPriority w:val="10"/>
    <w:qFormat/>
    <w:rsid w:val="00AB2931"/>
    <w:pPr>
      <w:widowControl w:val="0"/>
      <w:autoSpaceDE w:val="0"/>
      <w:autoSpaceDN w:val="0"/>
      <w:spacing w:before="4" w:after="0" w:line="240" w:lineRule="auto"/>
    </w:pPr>
    <w:rPr>
      <w:rFonts w:ascii="Times New Roman" w:eastAsia="Times New Roman" w:hAnsi="Times New Roman"/>
    </w:rPr>
  </w:style>
  <w:style w:type="character" w:customStyle="1" w:styleId="TitleChar">
    <w:name w:val="Title Char"/>
    <w:basedOn w:val="DefaultParagraphFont"/>
    <w:link w:val="Title"/>
    <w:uiPriority w:val="10"/>
    <w:rsid w:val="00AB2931"/>
    <w:rPr>
      <w:rFonts w:ascii="Times New Roman" w:eastAsia="Times New Roman" w:hAnsi="Times New Roman" w:cs="Times New Roma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05156">
      <w:bodyDiv w:val="1"/>
      <w:marLeft w:val="0"/>
      <w:marRight w:val="0"/>
      <w:marTop w:val="0"/>
      <w:marBottom w:val="0"/>
      <w:divBdr>
        <w:top w:val="none" w:sz="0" w:space="0" w:color="auto"/>
        <w:left w:val="none" w:sz="0" w:space="0" w:color="auto"/>
        <w:bottom w:val="none" w:sz="0" w:space="0" w:color="auto"/>
        <w:right w:val="none" w:sz="0" w:space="0" w:color="auto"/>
      </w:divBdr>
    </w:div>
    <w:div w:id="209920642">
      <w:bodyDiv w:val="1"/>
      <w:marLeft w:val="0"/>
      <w:marRight w:val="0"/>
      <w:marTop w:val="0"/>
      <w:marBottom w:val="0"/>
      <w:divBdr>
        <w:top w:val="none" w:sz="0" w:space="0" w:color="auto"/>
        <w:left w:val="none" w:sz="0" w:space="0" w:color="auto"/>
        <w:bottom w:val="none" w:sz="0" w:space="0" w:color="auto"/>
        <w:right w:val="none" w:sz="0" w:space="0" w:color="auto"/>
      </w:divBdr>
    </w:div>
    <w:div w:id="226962818">
      <w:bodyDiv w:val="1"/>
      <w:marLeft w:val="0"/>
      <w:marRight w:val="0"/>
      <w:marTop w:val="0"/>
      <w:marBottom w:val="0"/>
      <w:divBdr>
        <w:top w:val="none" w:sz="0" w:space="0" w:color="auto"/>
        <w:left w:val="none" w:sz="0" w:space="0" w:color="auto"/>
        <w:bottom w:val="none" w:sz="0" w:space="0" w:color="auto"/>
        <w:right w:val="none" w:sz="0" w:space="0" w:color="auto"/>
      </w:divBdr>
    </w:div>
    <w:div w:id="314454437">
      <w:bodyDiv w:val="1"/>
      <w:marLeft w:val="0"/>
      <w:marRight w:val="0"/>
      <w:marTop w:val="0"/>
      <w:marBottom w:val="0"/>
      <w:divBdr>
        <w:top w:val="none" w:sz="0" w:space="0" w:color="auto"/>
        <w:left w:val="none" w:sz="0" w:space="0" w:color="auto"/>
        <w:bottom w:val="none" w:sz="0" w:space="0" w:color="auto"/>
        <w:right w:val="none" w:sz="0" w:space="0" w:color="auto"/>
      </w:divBdr>
    </w:div>
    <w:div w:id="336731652">
      <w:bodyDiv w:val="1"/>
      <w:marLeft w:val="0"/>
      <w:marRight w:val="0"/>
      <w:marTop w:val="0"/>
      <w:marBottom w:val="0"/>
      <w:divBdr>
        <w:top w:val="none" w:sz="0" w:space="0" w:color="auto"/>
        <w:left w:val="none" w:sz="0" w:space="0" w:color="auto"/>
        <w:bottom w:val="none" w:sz="0" w:space="0" w:color="auto"/>
        <w:right w:val="none" w:sz="0" w:space="0" w:color="auto"/>
      </w:divBdr>
    </w:div>
    <w:div w:id="384765899">
      <w:bodyDiv w:val="1"/>
      <w:marLeft w:val="0"/>
      <w:marRight w:val="0"/>
      <w:marTop w:val="0"/>
      <w:marBottom w:val="0"/>
      <w:divBdr>
        <w:top w:val="none" w:sz="0" w:space="0" w:color="auto"/>
        <w:left w:val="none" w:sz="0" w:space="0" w:color="auto"/>
        <w:bottom w:val="none" w:sz="0" w:space="0" w:color="auto"/>
        <w:right w:val="none" w:sz="0" w:space="0" w:color="auto"/>
      </w:divBdr>
    </w:div>
    <w:div w:id="440733659">
      <w:bodyDiv w:val="1"/>
      <w:marLeft w:val="0"/>
      <w:marRight w:val="0"/>
      <w:marTop w:val="0"/>
      <w:marBottom w:val="0"/>
      <w:divBdr>
        <w:top w:val="none" w:sz="0" w:space="0" w:color="auto"/>
        <w:left w:val="none" w:sz="0" w:space="0" w:color="auto"/>
        <w:bottom w:val="none" w:sz="0" w:space="0" w:color="auto"/>
        <w:right w:val="none" w:sz="0" w:space="0" w:color="auto"/>
      </w:divBdr>
    </w:div>
    <w:div w:id="451285204">
      <w:bodyDiv w:val="1"/>
      <w:marLeft w:val="0"/>
      <w:marRight w:val="0"/>
      <w:marTop w:val="0"/>
      <w:marBottom w:val="0"/>
      <w:divBdr>
        <w:top w:val="none" w:sz="0" w:space="0" w:color="auto"/>
        <w:left w:val="none" w:sz="0" w:space="0" w:color="auto"/>
        <w:bottom w:val="none" w:sz="0" w:space="0" w:color="auto"/>
        <w:right w:val="none" w:sz="0" w:space="0" w:color="auto"/>
      </w:divBdr>
    </w:div>
    <w:div w:id="459685502">
      <w:bodyDiv w:val="1"/>
      <w:marLeft w:val="0"/>
      <w:marRight w:val="0"/>
      <w:marTop w:val="0"/>
      <w:marBottom w:val="0"/>
      <w:divBdr>
        <w:top w:val="none" w:sz="0" w:space="0" w:color="auto"/>
        <w:left w:val="none" w:sz="0" w:space="0" w:color="auto"/>
        <w:bottom w:val="none" w:sz="0" w:space="0" w:color="auto"/>
        <w:right w:val="none" w:sz="0" w:space="0" w:color="auto"/>
      </w:divBdr>
    </w:div>
    <w:div w:id="486482900">
      <w:bodyDiv w:val="1"/>
      <w:marLeft w:val="0"/>
      <w:marRight w:val="0"/>
      <w:marTop w:val="0"/>
      <w:marBottom w:val="0"/>
      <w:divBdr>
        <w:top w:val="none" w:sz="0" w:space="0" w:color="auto"/>
        <w:left w:val="none" w:sz="0" w:space="0" w:color="auto"/>
        <w:bottom w:val="none" w:sz="0" w:space="0" w:color="auto"/>
        <w:right w:val="none" w:sz="0" w:space="0" w:color="auto"/>
      </w:divBdr>
    </w:div>
    <w:div w:id="534734392">
      <w:bodyDiv w:val="1"/>
      <w:marLeft w:val="0"/>
      <w:marRight w:val="0"/>
      <w:marTop w:val="0"/>
      <w:marBottom w:val="0"/>
      <w:divBdr>
        <w:top w:val="none" w:sz="0" w:space="0" w:color="auto"/>
        <w:left w:val="none" w:sz="0" w:space="0" w:color="auto"/>
        <w:bottom w:val="none" w:sz="0" w:space="0" w:color="auto"/>
        <w:right w:val="none" w:sz="0" w:space="0" w:color="auto"/>
      </w:divBdr>
    </w:div>
    <w:div w:id="587158176">
      <w:bodyDiv w:val="1"/>
      <w:marLeft w:val="0"/>
      <w:marRight w:val="0"/>
      <w:marTop w:val="0"/>
      <w:marBottom w:val="0"/>
      <w:divBdr>
        <w:top w:val="none" w:sz="0" w:space="0" w:color="auto"/>
        <w:left w:val="none" w:sz="0" w:space="0" w:color="auto"/>
        <w:bottom w:val="none" w:sz="0" w:space="0" w:color="auto"/>
        <w:right w:val="none" w:sz="0" w:space="0" w:color="auto"/>
      </w:divBdr>
    </w:div>
    <w:div w:id="687408188">
      <w:bodyDiv w:val="1"/>
      <w:marLeft w:val="0"/>
      <w:marRight w:val="0"/>
      <w:marTop w:val="0"/>
      <w:marBottom w:val="0"/>
      <w:divBdr>
        <w:top w:val="none" w:sz="0" w:space="0" w:color="auto"/>
        <w:left w:val="none" w:sz="0" w:space="0" w:color="auto"/>
        <w:bottom w:val="none" w:sz="0" w:space="0" w:color="auto"/>
        <w:right w:val="none" w:sz="0" w:space="0" w:color="auto"/>
      </w:divBdr>
    </w:div>
    <w:div w:id="698360079">
      <w:bodyDiv w:val="1"/>
      <w:marLeft w:val="0"/>
      <w:marRight w:val="0"/>
      <w:marTop w:val="0"/>
      <w:marBottom w:val="0"/>
      <w:divBdr>
        <w:top w:val="none" w:sz="0" w:space="0" w:color="auto"/>
        <w:left w:val="none" w:sz="0" w:space="0" w:color="auto"/>
        <w:bottom w:val="none" w:sz="0" w:space="0" w:color="auto"/>
        <w:right w:val="none" w:sz="0" w:space="0" w:color="auto"/>
      </w:divBdr>
    </w:div>
    <w:div w:id="713162763">
      <w:bodyDiv w:val="1"/>
      <w:marLeft w:val="0"/>
      <w:marRight w:val="0"/>
      <w:marTop w:val="0"/>
      <w:marBottom w:val="0"/>
      <w:divBdr>
        <w:top w:val="none" w:sz="0" w:space="0" w:color="auto"/>
        <w:left w:val="none" w:sz="0" w:space="0" w:color="auto"/>
        <w:bottom w:val="none" w:sz="0" w:space="0" w:color="auto"/>
        <w:right w:val="none" w:sz="0" w:space="0" w:color="auto"/>
      </w:divBdr>
    </w:div>
    <w:div w:id="766579475">
      <w:bodyDiv w:val="1"/>
      <w:marLeft w:val="0"/>
      <w:marRight w:val="0"/>
      <w:marTop w:val="0"/>
      <w:marBottom w:val="0"/>
      <w:divBdr>
        <w:top w:val="none" w:sz="0" w:space="0" w:color="auto"/>
        <w:left w:val="none" w:sz="0" w:space="0" w:color="auto"/>
        <w:bottom w:val="none" w:sz="0" w:space="0" w:color="auto"/>
        <w:right w:val="none" w:sz="0" w:space="0" w:color="auto"/>
      </w:divBdr>
    </w:div>
    <w:div w:id="935943582">
      <w:bodyDiv w:val="1"/>
      <w:marLeft w:val="0"/>
      <w:marRight w:val="0"/>
      <w:marTop w:val="0"/>
      <w:marBottom w:val="0"/>
      <w:divBdr>
        <w:top w:val="none" w:sz="0" w:space="0" w:color="auto"/>
        <w:left w:val="none" w:sz="0" w:space="0" w:color="auto"/>
        <w:bottom w:val="none" w:sz="0" w:space="0" w:color="auto"/>
        <w:right w:val="none" w:sz="0" w:space="0" w:color="auto"/>
      </w:divBdr>
    </w:div>
    <w:div w:id="1062873210">
      <w:bodyDiv w:val="1"/>
      <w:marLeft w:val="0"/>
      <w:marRight w:val="0"/>
      <w:marTop w:val="0"/>
      <w:marBottom w:val="0"/>
      <w:divBdr>
        <w:top w:val="none" w:sz="0" w:space="0" w:color="auto"/>
        <w:left w:val="none" w:sz="0" w:space="0" w:color="auto"/>
        <w:bottom w:val="none" w:sz="0" w:space="0" w:color="auto"/>
        <w:right w:val="none" w:sz="0" w:space="0" w:color="auto"/>
      </w:divBdr>
    </w:div>
    <w:div w:id="1127702756">
      <w:bodyDiv w:val="1"/>
      <w:marLeft w:val="0"/>
      <w:marRight w:val="0"/>
      <w:marTop w:val="0"/>
      <w:marBottom w:val="0"/>
      <w:divBdr>
        <w:top w:val="none" w:sz="0" w:space="0" w:color="auto"/>
        <w:left w:val="none" w:sz="0" w:space="0" w:color="auto"/>
        <w:bottom w:val="none" w:sz="0" w:space="0" w:color="auto"/>
        <w:right w:val="none" w:sz="0" w:space="0" w:color="auto"/>
      </w:divBdr>
    </w:div>
    <w:div w:id="1150245711">
      <w:bodyDiv w:val="1"/>
      <w:marLeft w:val="0"/>
      <w:marRight w:val="0"/>
      <w:marTop w:val="0"/>
      <w:marBottom w:val="0"/>
      <w:divBdr>
        <w:top w:val="none" w:sz="0" w:space="0" w:color="auto"/>
        <w:left w:val="none" w:sz="0" w:space="0" w:color="auto"/>
        <w:bottom w:val="none" w:sz="0" w:space="0" w:color="auto"/>
        <w:right w:val="none" w:sz="0" w:space="0" w:color="auto"/>
      </w:divBdr>
    </w:div>
    <w:div w:id="1203396455">
      <w:bodyDiv w:val="1"/>
      <w:marLeft w:val="0"/>
      <w:marRight w:val="0"/>
      <w:marTop w:val="0"/>
      <w:marBottom w:val="0"/>
      <w:divBdr>
        <w:top w:val="none" w:sz="0" w:space="0" w:color="auto"/>
        <w:left w:val="none" w:sz="0" w:space="0" w:color="auto"/>
        <w:bottom w:val="none" w:sz="0" w:space="0" w:color="auto"/>
        <w:right w:val="none" w:sz="0" w:space="0" w:color="auto"/>
      </w:divBdr>
    </w:div>
    <w:div w:id="1224559875">
      <w:bodyDiv w:val="1"/>
      <w:marLeft w:val="0"/>
      <w:marRight w:val="0"/>
      <w:marTop w:val="0"/>
      <w:marBottom w:val="0"/>
      <w:divBdr>
        <w:top w:val="none" w:sz="0" w:space="0" w:color="auto"/>
        <w:left w:val="none" w:sz="0" w:space="0" w:color="auto"/>
        <w:bottom w:val="none" w:sz="0" w:space="0" w:color="auto"/>
        <w:right w:val="none" w:sz="0" w:space="0" w:color="auto"/>
      </w:divBdr>
    </w:div>
    <w:div w:id="1271401935">
      <w:bodyDiv w:val="1"/>
      <w:marLeft w:val="0"/>
      <w:marRight w:val="0"/>
      <w:marTop w:val="0"/>
      <w:marBottom w:val="0"/>
      <w:divBdr>
        <w:top w:val="none" w:sz="0" w:space="0" w:color="auto"/>
        <w:left w:val="none" w:sz="0" w:space="0" w:color="auto"/>
        <w:bottom w:val="none" w:sz="0" w:space="0" w:color="auto"/>
        <w:right w:val="none" w:sz="0" w:space="0" w:color="auto"/>
      </w:divBdr>
    </w:div>
    <w:div w:id="1384207624">
      <w:bodyDiv w:val="1"/>
      <w:marLeft w:val="0"/>
      <w:marRight w:val="0"/>
      <w:marTop w:val="0"/>
      <w:marBottom w:val="0"/>
      <w:divBdr>
        <w:top w:val="none" w:sz="0" w:space="0" w:color="auto"/>
        <w:left w:val="none" w:sz="0" w:space="0" w:color="auto"/>
        <w:bottom w:val="none" w:sz="0" w:space="0" w:color="auto"/>
        <w:right w:val="none" w:sz="0" w:space="0" w:color="auto"/>
      </w:divBdr>
    </w:div>
    <w:div w:id="1468275581">
      <w:bodyDiv w:val="1"/>
      <w:marLeft w:val="0"/>
      <w:marRight w:val="0"/>
      <w:marTop w:val="0"/>
      <w:marBottom w:val="0"/>
      <w:divBdr>
        <w:top w:val="none" w:sz="0" w:space="0" w:color="auto"/>
        <w:left w:val="none" w:sz="0" w:space="0" w:color="auto"/>
        <w:bottom w:val="none" w:sz="0" w:space="0" w:color="auto"/>
        <w:right w:val="none" w:sz="0" w:space="0" w:color="auto"/>
      </w:divBdr>
    </w:div>
    <w:div w:id="1473597012">
      <w:bodyDiv w:val="1"/>
      <w:marLeft w:val="0"/>
      <w:marRight w:val="0"/>
      <w:marTop w:val="0"/>
      <w:marBottom w:val="0"/>
      <w:divBdr>
        <w:top w:val="none" w:sz="0" w:space="0" w:color="auto"/>
        <w:left w:val="none" w:sz="0" w:space="0" w:color="auto"/>
        <w:bottom w:val="none" w:sz="0" w:space="0" w:color="auto"/>
        <w:right w:val="none" w:sz="0" w:space="0" w:color="auto"/>
      </w:divBdr>
    </w:div>
    <w:div w:id="1670137758">
      <w:bodyDiv w:val="1"/>
      <w:marLeft w:val="0"/>
      <w:marRight w:val="0"/>
      <w:marTop w:val="0"/>
      <w:marBottom w:val="0"/>
      <w:divBdr>
        <w:top w:val="none" w:sz="0" w:space="0" w:color="auto"/>
        <w:left w:val="none" w:sz="0" w:space="0" w:color="auto"/>
        <w:bottom w:val="none" w:sz="0" w:space="0" w:color="auto"/>
        <w:right w:val="none" w:sz="0" w:space="0" w:color="auto"/>
      </w:divBdr>
    </w:div>
    <w:div w:id="1732847673">
      <w:bodyDiv w:val="1"/>
      <w:marLeft w:val="0"/>
      <w:marRight w:val="0"/>
      <w:marTop w:val="0"/>
      <w:marBottom w:val="0"/>
      <w:divBdr>
        <w:top w:val="none" w:sz="0" w:space="0" w:color="auto"/>
        <w:left w:val="none" w:sz="0" w:space="0" w:color="auto"/>
        <w:bottom w:val="none" w:sz="0" w:space="0" w:color="auto"/>
        <w:right w:val="none" w:sz="0" w:space="0" w:color="auto"/>
      </w:divBdr>
      <w:divsChild>
        <w:div w:id="1445462153">
          <w:marLeft w:val="0"/>
          <w:marRight w:val="0"/>
          <w:marTop w:val="0"/>
          <w:marBottom w:val="0"/>
          <w:divBdr>
            <w:top w:val="none" w:sz="0" w:space="0" w:color="auto"/>
            <w:left w:val="none" w:sz="0" w:space="0" w:color="auto"/>
            <w:bottom w:val="none" w:sz="0" w:space="0" w:color="auto"/>
            <w:right w:val="none" w:sz="0" w:space="0" w:color="auto"/>
          </w:divBdr>
        </w:div>
        <w:div w:id="70934020">
          <w:marLeft w:val="0"/>
          <w:marRight w:val="0"/>
          <w:marTop w:val="0"/>
          <w:marBottom w:val="0"/>
          <w:divBdr>
            <w:top w:val="none" w:sz="0" w:space="0" w:color="auto"/>
            <w:left w:val="none" w:sz="0" w:space="0" w:color="auto"/>
            <w:bottom w:val="none" w:sz="0" w:space="0" w:color="auto"/>
            <w:right w:val="none" w:sz="0" w:space="0" w:color="auto"/>
          </w:divBdr>
        </w:div>
        <w:div w:id="1848596914">
          <w:marLeft w:val="0"/>
          <w:marRight w:val="0"/>
          <w:marTop w:val="0"/>
          <w:marBottom w:val="0"/>
          <w:divBdr>
            <w:top w:val="none" w:sz="0" w:space="0" w:color="auto"/>
            <w:left w:val="none" w:sz="0" w:space="0" w:color="auto"/>
            <w:bottom w:val="none" w:sz="0" w:space="0" w:color="auto"/>
            <w:right w:val="none" w:sz="0" w:space="0" w:color="auto"/>
          </w:divBdr>
        </w:div>
        <w:div w:id="862087141">
          <w:marLeft w:val="0"/>
          <w:marRight w:val="0"/>
          <w:marTop w:val="0"/>
          <w:marBottom w:val="0"/>
          <w:divBdr>
            <w:top w:val="none" w:sz="0" w:space="0" w:color="auto"/>
            <w:left w:val="none" w:sz="0" w:space="0" w:color="auto"/>
            <w:bottom w:val="none" w:sz="0" w:space="0" w:color="auto"/>
            <w:right w:val="none" w:sz="0" w:space="0" w:color="auto"/>
          </w:divBdr>
        </w:div>
        <w:div w:id="1406605760">
          <w:marLeft w:val="0"/>
          <w:marRight w:val="0"/>
          <w:marTop w:val="0"/>
          <w:marBottom w:val="0"/>
          <w:divBdr>
            <w:top w:val="none" w:sz="0" w:space="0" w:color="auto"/>
            <w:left w:val="none" w:sz="0" w:space="0" w:color="auto"/>
            <w:bottom w:val="none" w:sz="0" w:space="0" w:color="auto"/>
            <w:right w:val="none" w:sz="0" w:space="0" w:color="auto"/>
          </w:divBdr>
        </w:div>
        <w:div w:id="1676031840">
          <w:marLeft w:val="0"/>
          <w:marRight w:val="0"/>
          <w:marTop w:val="0"/>
          <w:marBottom w:val="0"/>
          <w:divBdr>
            <w:top w:val="none" w:sz="0" w:space="0" w:color="auto"/>
            <w:left w:val="none" w:sz="0" w:space="0" w:color="auto"/>
            <w:bottom w:val="none" w:sz="0" w:space="0" w:color="auto"/>
            <w:right w:val="none" w:sz="0" w:space="0" w:color="auto"/>
          </w:divBdr>
        </w:div>
      </w:divsChild>
    </w:div>
    <w:div w:id="1742019413">
      <w:bodyDiv w:val="1"/>
      <w:marLeft w:val="0"/>
      <w:marRight w:val="0"/>
      <w:marTop w:val="0"/>
      <w:marBottom w:val="0"/>
      <w:divBdr>
        <w:top w:val="none" w:sz="0" w:space="0" w:color="auto"/>
        <w:left w:val="none" w:sz="0" w:space="0" w:color="auto"/>
        <w:bottom w:val="none" w:sz="0" w:space="0" w:color="auto"/>
        <w:right w:val="none" w:sz="0" w:space="0" w:color="auto"/>
      </w:divBdr>
    </w:div>
    <w:div w:id="1766419429">
      <w:bodyDiv w:val="1"/>
      <w:marLeft w:val="0"/>
      <w:marRight w:val="0"/>
      <w:marTop w:val="0"/>
      <w:marBottom w:val="0"/>
      <w:divBdr>
        <w:top w:val="none" w:sz="0" w:space="0" w:color="auto"/>
        <w:left w:val="none" w:sz="0" w:space="0" w:color="auto"/>
        <w:bottom w:val="none" w:sz="0" w:space="0" w:color="auto"/>
        <w:right w:val="none" w:sz="0" w:space="0" w:color="auto"/>
      </w:divBdr>
    </w:div>
    <w:div w:id="1782720440">
      <w:bodyDiv w:val="1"/>
      <w:marLeft w:val="0"/>
      <w:marRight w:val="0"/>
      <w:marTop w:val="0"/>
      <w:marBottom w:val="0"/>
      <w:divBdr>
        <w:top w:val="none" w:sz="0" w:space="0" w:color="auto"/>
        <w:left w:val="none" w:sz="0" w:space="0" w:color="auto"/>
        <w:bottom w:val="none" w:sz="0" w:space="0" w:color="auto"/>
        <w:right w:val="none" w:sz="0" w:space="0" w:color="auto"/>
      </w:divBdr>
    </w:div>
    <w:div w:id="1862353831">
      <w:bodyDiv w:val="1"/>
      <w:marLeft w:val="0"/>
      <w:marRight w:val="0"/>
      <w:marTop w:val="0"/>
      <w:marBottom w:val="0"/>
      <w:divBdr>
        <w:top w:val="none" w:sz="0" w:space="0" w:color="auto"/>
        <w:left w:val="none" w:sz="0" w:space="0" w:color="auto"/>
        <w:bottom w:val="none" w:sz="0" w:space="0" w:color="auto"/>
        <w:right w:val="none" w:sz="0" w:space="0" w:color="auto"/>
      </w:divBdr>
    </w:div>
    <w:div w:id="1976065411">
      <w:bodyDiv w:val="1"/>
      <w:marLeft w:val="0"/>
      <w:marRight w:val="0"/>
      <w:marTop w:val="0"/>
      <w:marBottom w:val="0"/>
      <w:divBdr>
        <w:top w:val="none" w:sz="0" w:space="0" w:color="auto"/>
        <w:left w:val="none" w:sz="0" w:space="0" w:color="auto"/>
        <w:bottom w:val="none" w:sz="0" w:space="0" w:color="auto"/>
        <w:right w:val="none" w:sz="0" w:space="0" w:color="auto"/>
      </w:divBdr>
    </w:div>
    <w:div w:id="1991670262">
      <w:bodyDiv w:val="1"/>
      <w:marLeft w:val="0"/>
      <w:marRight w:val="0"/>
      <w:marTop w:val="0"/>
      <w:marBottom w:val="0"/>
      <w:divBdr>
        <w:top w:val="none" w:sz="0" w:space="0" w:color="auto"/>
        <w:left w:val="none" w:sz="0" w:space="0" w:color="auto"/>
        <w:bottom w:val="none" w:sz="0" w:space="0" w:color="auto"/>
        <w:right w:val="none" w:sz="0" w:space="0" w:color="auto"/>
      </w:divBdr>
      <w:divsChild>
        <w:div w:id="1221795264">
          <w:marLeft w:val="0"/>
          <w:marRight w:val="0"/>
          <w:marTop w:val="0"/>
          <w:marBottom w:val="0"/>
          <w:divBdr>
            <w:top w:val="none" w:sz="0" w:space="0" w:color="auto"/>
            <w:left w:val="none" w:sz="0" w:space="0" w:color="auto"/>
            <w:bottom w:val="none" w:sz="0" w:space="0" w:color="auto"/>
            <w:right w:val="none" w:sz="0" w:space="0" w:color="auto"/>
          </w:divBdr>
        </w:div>
        <w:div w:id="1333097771">
          <w:marLeft w:val="0"/>
          <w:marRight w:val="0"/>
          <w:marTop w:val="0"/>
          <w:marBottom w:val="0"/>
          <w:divBdr>
            <w:top w:val="none" w:sz="0" w:space="0" w:color="auto"/>
            <w:left w:val="none" w:sz="0" w:space="0" w:color="auto"/>
            <w:bottom w:val="none" w:sz="0" w:space="0" w:color="auto"/>
            <w:right w:val="none" w:sz="0" w:space="0" w:color="auto"/>
          </w:divBdr>
        </w:div>
        <w:div w:id="211966973">
          <w:marLeft w:val="0"/>
          <w:marRight w:val="0"/>
          <w:marTop w:val="0"/>
          <w:marBottom w:val="0"/>
          <w:divBdr>
            <w:top w:val="none" w:sz="0" w:space="0" w:color="auto"/>
            <w:left w:val="none" w:sz="0" w:space="0" w:color="auto"/>
            <w:bottom w:val="none" w:sz="0" w:space="0" w:color="auto"/>
            <w:right w:val="none" w:sz="0" w:space="0" w:color="auto"/>
          </w:divBdr>
        </w:div>
        <w:div w:id="173350300">
          <w:marLeft w:val="0"/>
          <w:marRight w:val="0"/>
          <w:marTop w:val="0"/>
          <w:marBottom w:val="0"/>
          <w:divBdr>
            <w:top w:val="none" w:sz="0" w:space="0" w:color="auto"/>
            <w:left w:val="none" w:sz="0" w:space="0" w:color="auto"/>
            <w:bottom w:val="none" w:sz="0" w:space="0" w:color="auto"/>
            <w:right w:val="none" w:sz="0" w:space="0" w:color="auto"/>
          </w:divBdr>
        </w:div>
        <w:div w:id="2040735806">
          <w:marLeft w:val="0"/>
          <w:marRight w:val="0"/>
          <w:marTop w:val="0"/>
          <w:marBottom w:val="0"/>
          <w:divBdr>
            <w:top w:val="none" w:sz="0" w:space="0" w:color="auto"/>
            <w:left w:val="none" w:sz="0" w:space="0" w:color="auto"/>
            <w:bottom w:val="none" w:sz="0" w:space="0" w:color="auto"/>
            <w:right w:val="none" w:sz="0" w:space="0" w:color="auto"/>
          </w:divBdr>
        </w:div>
        <w:div w:id="1792627994">
          <w:marLeft w:val="0"/>
          <w:marRight w:val="0"/>
          <w:marTop w:val="0"/>
          <w:marBottom w:val="0"/>
          <w:divBdr>
            <w:top w:val="none" w:sz="0" w:space="0" w:color="auto"/>
            <w:left w:val="none" w:sz="0" w:space="0" w:color="auto"/>
            <w:bottom w:val="none" w:sz="0" w:space="0" w:color="auto"/>
            <w:right w:val="none" w:sz="0" w:space="0" w:color="auto"/>
          </w:divBdr>
        </w:div>
      </w:divsChild>
    </w:div>
    <w:div w:id="1999534641">
      <w:bodyDiv w:val="1"/>
      <w:marLeft w:val="0"/>
      <w:marRight w:val="0"/>
      <w:marTop w:val="0"/>
      <w:marBottom w:val="0"/>
      <w:divBdr>
        <w:top w:val="none" w:sz="0" w:space="0" w:color="auto"/>
        <w:left w:val="none" w:sz="0" w:space="0" w:color="auto"/>
        <w:bottom w:val="none" w:sz="0" w:space="0" w:color="auto"/>
        <w:right w:val="none" w:sz="0" w:space="0" w:color="auto"/>
      </w:divBdr>
    </w:div>
    <w:div w:id="2015062553">
      <w:bodyDiv w:val="1"/>
      <w:marLeft w:val="0"/>
      <w:marRight w:val="0"/>
      <w:marTop w:val="0"/>
      <w:marBottom w:val="0"/>
      <w:divBdr>
        <w:top w:val="none" w:sz="0" w:space="0" w:color="auto"/>
        <w:left w:val="none" w:sz="0" w:space="0" w:color="auto"/>
        <w:bottom w:val="none" w:sz="0" w:space="0" w:color="auto"/>
        <w:right w:val="none" w:sz="0" w:space="0" w:color="auto"/>
      </w:divBdr>
    </w:div>
    <w:div w:id="2086756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mailto:dinde754@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Info spid="_x0000_s1025"/>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Pem45</b:Tag>
    <b:SourceType>Book</b:SourceType>
    <b:Guid>{F8989F13-ED6C-4F6E-B5F9-63F88C119670}</b:Guid>
    <b:Author>
      <b:Author>
        <b:Corporate>Pemerintah Republik Indonesia</b:Corporate>
      </b:Author>
    </b:Author>
    <b:Title>Undang-Undang Dasar Negara Republik Indonesia Tahun 1945</b:Title>
    <b:Year>1945</b:Year>
    <b:City>Jakarta</b:City>
    <b:RefOrder>1</b:RefOrder>
  </b:Source>
  <b:Source>
    <b:Tag>Kem181</b:Tag>
    <b:SourceType>Book</b:SourceType>
    <b:Guid>{41638486-DD97-4340-BFD0-01E2B78B9DA0}</b:Guid>
    <b:Author>
      <b:Author>
        <b:Corporate>Kementerian Pendidikan dan Kebudayaan</b:Corporate>
      </b:Author>
    </b:Author>
    <b:Title>Peraturan Menteri Pendidikan dan Kebudayaan Nomor 6 Tahun 2018 tentang Penugasan Guru sebagai Kepala Sekolah</b:Title>
    <b:Year>2018</b:Year>
    <b:City>Jakarta</b:City>
    <b:Publisher>Kementerian Pendidikan dan Kebudayaan</b:Publisher>
    <b:RefOrder>2</b:RefOrder>
  </b:Source>
  <b:Source>
    <b:Tag>Djo19</b:Tag>
    <b:SourceType>Book</b:SourceType>
    <b:Guid>{751E4840-86CB-4CCC-BB96-CC71758C9566}</b:Guid>
    <b:Title>Pengelolaan Sarana Prasarana Sekolah (MPPKS-SAR)</b:Title>
    <b:Year>2019</b:Year>
    <b:Author>
      <b:Author>
        <b:NameList>
          <b:Person>
            <b:Last>Sambodo</b:Last>
            <b:First>Djoko</b:First>
          </b:Person>
        </b:NameList>
      </b:Author>
    </b:Author>
    <b:City>Jakarta</b:City>
    <b:Publisher>Direktorat Jenderal Guru dan Tenaga Kependidikan</b:Publisher>
    <b:RefOrder>13</b:RefOrder>
  </b:Source>
  <b:Source>
    <b:Tag>Ahm11</b:Tag>
    <b:SourceType>Book</b:SourceType>
    <b:Guid>{1DD6D5D0-F098-4ED2-B7C2-135FE8FC2AE8}</b:Guid>
    <b:LCID>id-ID</b:LCID>
    <b:Author>
      <b:Author>
        <b:NameList>
          <b:Person>
            <b:Last>Suriansyah</b:Last>
            <b:First>Ahmad</b:First>
          </b:Person>
        </b:NameList>
      </b:Author>
    </b:Author>
    <b:Title>Landasan Pendidikan</b:Title>
    <b:Year>2011</b:Year>
    <b:Pages>1-3</b:Pages>
    <b:City>Banjarmasin</b:City>
    <b:Publisher>Comdes</b:Publisher>
    <b:RefOrder>1</b:RefOrder>
  </b:Source>
  <b:Source>
    <b:Tag>Efe21</b:Tag>
    <b:SourceType>Book</b:SourceType>
    <b:Guid>{BAD5B4AB-859D-40B0-8E7D-FB0FA557C42D}</b:Guid>
    <b:Author>
      <b:Author>
        <b:NameList>
          <b:Person>
            <b:Last>Efendi</b:Last>
            <b:First>Direktorat</b:First>
            <b:Middle>Sekolah Menengah Kejuruan</b:Middle>
          </b:Person>
        </b:NameList>
      </b:Author>
    </b:Author>
    <b:Title>Norma dan Standar Laboratorium/ Bengkel SMK Kompeetensi Keahlian Teknik Audio Video</b:Title>
    <b:Year>2021</b:Year>
    <b:LCID>id-ID</b:LCID>
    <b:City>Jakarta</b:City>
    <b:Publisher>Direktorat Sekolah Menengah Kejuruan</b:Publisher>
    <b:RefOrder>2</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BF08DA-966D-4530-BF9A-ABC6C16999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29287</TotalTime>
  <Pages>14</Pages>
  <Words>10180</Words>
  <Characters>58029</Characters>
  <Application>Microsoft Office Word</Application>
  <DocSecurity>0</DocSecurity>
  <Lines>483</Lines>
  <Paragraphs>136</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68073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insyirah mohdnor</dc:creator>
  <cp:lastModifiedBy>User</cp:lastModifiedBy>
  <cp:revision>522</cp:revision>
  <cp:lastPrinted>2023-04-09T17:52:00Z</cp:lastPrinted>
  <dcterms:created xsi:type="dcterms:W3CDTF">2022-09-07T08:01:00Z</dcterms:created>
  <dcterms:modified xsi:type="dcterms:W3CDTF">2024-12-30T09:53:00Z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7467D47697974EDDB317E6A4CF866246</vt:lpwstr>
  </property>
  <property fmtid="{D5CDD505-2E9C-101B-9397-08002B2CF9AE}" pid="3" name="KSOProductBuildVer">
    <vt:lpwstr>1033-11.2.0.11130</vt:lpwstr>
  </property>
  <property fmtid="{D5CDD505-2E9C-101B-9397-08002B2CF9AE}" pid="4" name="Mendeley Citation Style_1">
    <vt:lpwstr>http://www.zotero.org/styles/apa</vt:lpwstr>
  </property>
  <property fmtid="{D5CDD505-2E9C-101B-9397-08002B2CF9AE}" pid="5" name="Mendeley Document_1">
    <vt:lpwstr>True</vt:lpwstr>
  </property>
  <property fmtid="{D5CDD505-2E9C-101B-9397-08002B2CF9AE}" pid="6" name="Mendeley Recent Style Id 0_1">
    <vt:lpwstr>http://www.zotero.org/styles/american-medical-association</vt:lpwstr>
  </property>
  <property fmtid="{D5CDD505-2E9C-101B-9397-08002B2CF9AE}" pid="7" name="Mendeley Recent Style Id 1_1">
    <vt:lpwstr>http://www.zotero.org/styles/american-political-science-association</vt:lpwstr>
  </property>
  <property fmtid="{D5CDD505-2E9C-101B-9397-08002B2CF9AE}" pid="8" name="Mendeley Recent Style Id 2_1">
    <vt:lpwstr>http://www.zotero.org/styles/apa</vt:lpwstr>
  </property>
  <property fmtid="{D5CDD505-2E9C-101B-9397-08002B2CF9AE}" pid="9" name="Mendeley Recent Style Id 3_1">
    <vt:lpwstr>http://www.zotero.org/styles/american-sociological-association</vt:lpwstr>
  </property>
  <property fmtid="{D5CDD505-2E9C-101B-9397-08002B2CF9AE}" pid="10" name="Mendeley Recent Style Id 4_1">
    <vt:lpwstr>http://www.zotero.org/styles/chicago-author-date</vt:lpwstr>
  </property>
  <property fmtid="{D5CDD505-2E9C-101B-9397-08002B2CF9AE}" pid="11" name="Mendeley Recent Style Id 5_1">
    <vt:lpwstr>http://www.zotero.org/styles/harvard-cite-them-right</vt:lpwstr>
  </property>
  <property fmtid="{D5CDD505-2E9C-101B-9397-08002B2CF9AE}" pid="12" name="Mendeley Recent Style Id 6_1">
    <vt:lpwstr>http://www.zotero.org/styles/ieee</vt:lpwstr>
  </property>
  <property fmtid="{D5CDD505-2E9C-101B-9397-08002B2CF9AE}" pid="13" name="Mendeley Recent Style Id 7_1">
    <vt:lpwstr>http://www.zotero.org/styles/modern-humanities-research-association</vt:lpwstr>
  </property>
  <property fmtid="{D5CDD505-2E9C-101B-9397-08002B2CF9AE}" pid="14" name="Mendeley Recent Style Id 8_1">
    <vt:lpwstr>http://www.zotero.org/styles/modern-language-association</vt:lpwstr>
  </property>
  <property fmtid="{D5CDD505-2E9C-101B-9397-08002B2CF9AE}" pid="15" name="Mendeley Recent Style Id 9_1">
    <vt:lpwstr>http://www.zotero.org/styles/nature</vt:lpwstr>
  </property>
  <property fmtid="{D5CDD505-2E9C-101B-9397-08002B2CF9AE}" pid="16" name="Mendeley Recent Style Name 0_1">
    <vt:lpwstr>American Medical Association 11th edition</vt:lpwstr>
  </property>
  <property fmtid="{D5CDD505-2E9C-101B-9397-08002B2CF9AE}" pid="17" name="Mendeley Recent Style Name 1_1">
    <vt:lpwstr>American Political Science Association</vt:lpwstr>
  </property>
  <property fmtid="{D5CDD505-2E9C-101B-9397-08002B2CF9AE}" pid="18" name="Mendeley Recent Style Name 2_1">
    <vt:lpwstr>American Psychological Association 7th edition</vt:lpwstr>
  </property>
  <property fmtid="{D5CDD505-2E9C-101B-9397-08002B2CF9AE}" pid="19" name="Mendeley Recent Style Name 3_1">
    <vt:lpwstr>American Sociological Association 6th edition</vt:lpwstr>
  </property>
  <property fmtid="{D5CDD505-2E9C-101B-9397-08002B2CF9AE}" pid="20" name="Mendeley Recent Style Name 4_1">
    <vt:lpwstr>Chicago Manual of Style 17th edition (author-date)</vt:lpwstr>
  </property>
  <property fmtid="{D5CDD505-2E9C-101B-9397-08002B2CF9AE}" pid="21" name="Mendeley Recent Style Name 5_1">
    <vt:lpwstr>Cite Them Right 10th edition - Harvard</vt:lpwstr>
  </property>
  <property fmtid="{D5CDD505-2E9C-101B-9397-08002B2CF9AE}" pid="22" name="Mendeley Recent Style Name 6_1">
    <vt:lpwstr>IEEE</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Name 8_1">
    <vt:lpwstr>Modern Language Association 8th edition</vt:lpwstr>
  </property>
  <property fmtid="{D5CDD505-2E9C-101B-9397-08002B2CF9AE}" pid="25" name="Mendeley Recent Style Name 9_1">
    <vt:lpwstr>Nature</vt:lpwstr>
  </property>
  <property fmtid="{D5CDD505-2E9C-101B-9397-08002B2CF9AE}" pid="26" name="Mendeley Unique User Id_1">
    <vt:lpwstr>0f718615-9f0c-3e10-bc5e-e8fe887da77b</vt:lpwstr>
  </property>
</Properties>
</file>